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C1DAC97">
      <w:pPr>
        <w:pStyle w:val="5"/>
        <w:keepNext/>
        <w:keepLines w:val="0"/>
        <w:pageBreakBefore/>
        <w:widowControl/>
        <w:kinsoku/>
        <w:wordWrap/>
        <w:overflowPunct/>
        <w:topLinePunct w:val="0"/>
        <w:autoSpaceDE/>
        <w:autoSpaceDN/>
        <w:bidi w:val="0"/>
        <w:adjustRightInd/>
        <w:snapToGrid/>
        <w:spacing w:before="0" w:after="0" w:line="600" w:lineRule="exact"/>
        <w:ind w:left="0" w:leftChars="0" w:right="0" w:rightChars="0" w:firstLine="0" w:firstLineChars="0"/>
        <w:jc w:val="center"/>
        <w:textAlignment w:val="auto"/>
        <w:outlineLvl w:val="0"/>
        <w:rPr>
          <w:rFonts w:hint="eastAsia" w:ascii="宋体" w:hAnsi="宋体" w:eastAsia="宋体" w:cs="宋体"/>
          <w:b/>
          <w:kern w:val="2"/>
          <w:sz w:val="36"/>
          <w:szCs w:val="36"/>
          <w:lang w:val="en-US" w:eastAsia="zh-CN" w:bidi="ar-SA"/>
        </w:rPr>
      </w:pPr>
      <w:r>
        <w:rPr>
          <w:rFonts w:hint="eastAsia" w:ascii="宋体" w:hAnsi="宋体" w:eastAsia="宋体" w:cs="宋体"/>
          <w:b/>
          <w:kern w:val="2"/>
          <w:sz w:val="36"/>
          <w:szCs w:val="36"/>
          <w:lang w:val="en-US" w:eastAsia="zh-CN" w:bidi="ar-SA"/>
        </w:rPr>
        <w:t>《</w:t>
      </w:r>
      <w:bookmarkStart w:id="0" w:name="OLE_LINK2"/>
      <w:r>
        <w:rPr>
          <w:rFonts w:hint="eastAsia" w:ascii="宋体" w:hAnsi="宋体" w:eastAsia="宋体" w:cs="宋体"/>
          <w:b/>
          <w:kern w:val="2"/>
          <w:sz w:val="36"/>
          <w:szCs w:val="36"/>
          <w:lang w:val="en-US" w:eastAsia="zh-CN" w:bidi="ar-SA"/>
        </w:rPr>
        <w:t>青饲玉米机械化生产技术规程</w:t>
      </w:r>
      <w:bookmarkEnd w:id="0"/>
      <w:r>
        <w:rPr>
          <w:rFonts w:hint="eastAsia" w:ascii="宋体" w:hAnsi="宋体" w:eastAsia="宋体" w:cs="宋体"/>
          <w:b/>
          <w:kern w:val="2"/>
          <w:sz w:val="36"/>
          <w:szCs w:val="36"/>
          <w:lang w:val="en-US" w:eastAsia="zh-CN" w:bidi="ar-SA"/>
        </w:rPr>
        <w:t>》</w:t>
      </w:r>
    </w:p>
    <w:p w14:paraId="487DBA82">
      <w:pPr>
        <w:keepLines w:val="0"/>
        <w:kinsoku/>
        <w:wordWrap/>
        <w:overflowPunct/>
        <w:topLinePunct w:val="0"/>
        <w:autoSpaceDE/>
        <w:autoSpaceDN/>
        <w:bidi w:val="0"/>
        <w:adjustRightInd/>
        <w:snapToGrid/>
        <w:spacing w:beforeLines="50" w:line="600" w:lineRule="exact"/>
        <w:ind w:left="0" w:leftChars="0" w:right="0" w:rightChars="0" w:firstLine="0" w:firstLineChars="0"/>
        <w:jc w:val="center"/>
        <w:textAlignment w:val="auto"/>
        <w:rPr>
          <w:rFonts w:ascii="宋体" w:cs="宋体"/>
          <w:b/>
          <w:sz w:val="36"/>
          <w:szCs w:val="36"/>
        </w:rPr>
      </w:pPr>
      <w:r>
        <w:rPr>
          <w:rFonts w:hint="eastAsia" w:ascii="宋体" w:hAnsi="宋体" w:cs="宋体"/>
          <w:b/>
          <w:sz w:val="36"/>
          <w:szCs w:val="36"/>
        </w:rPr>
        <w:t>地方标准</w:t>
      </w:r>
      <w:bookmarkStart w:id="6" w:name="_GoBack"/>
      <w:bookmarkEnd w:id="6"/>
      <w:r>
        <w:rPr>
          <w:rFonts w:hint="eastAsia" w:ascii="宋体" w:hAnsi="宋体" w:cs="宋体"/>
          <w:b/>
          <w:sz w:val="36"/>
          <w:szCs w:val="36"/>
        </w:rPr>
        <w:t>编制说明</w:t>
      </w:r>
    </w:p>
    <w:p w14:paraId="5F8C970F">
      <w:pPr>
        <w:spacing w:line="560" w:lineRule="exact"/>
        <w:ind w:firstLine="643" w:firstLineChars="200"/>
        <w:rPr>
          <w:rFonts w:ascii="黑体" w:hAnsi="黑体" w:eastAsia="黑体"/>
          <w:b/>
          <w:bCs/>
          <w:sz w:val="32"/>
          <w:szCs w:val="32"/>
        </w:rPr>
      </w:pPr>
    </w:p>
    <w:p w14:paraId="3A5B224F">
      <w:pPr>
        <w:spacing w:line="560" w:lineRule="exact"/>
        <w:ind w:firstLine="643" w:firstLineChars="200"/>
        <w:rPr>
          <w:rFonts w:ascii="黑体" w:hAnsi="黑体" w:eastAsia="黑体"/>
          <w:b/>
          <w:bCs/>
          <w:sz w:val="32"/>
          <w:szCs w:val="32"/>
        </w:rPr>
      </w:pPr>
      <w:r>
        <w:rPr>
          <w:rFonts w:hint="eastAsia" w:ascii="黑体" w:hAnsi="黑体" w:eastAsia="黑体"/>
          <w:b/>
          <w:bCs/>
          <w:sz w:val="32"/>
          <w:szCs w:val="32"/>
        </w:rPr>
        <w:t>一、工作简况</w:t>
      </w:r>
    </w:p>
    <w:p w14:paraId="1B4946F0">
      <w:pPr>
        <w:spacing w:line="560" w:lineRule="exact"/>
        <w:ind w:firstLine="643" w:firstLineChars="200"/>
        <w:rPr>
          <w:rFonts w:ascii="楷体_GB2312" w:hAnsi="楷体_GB2312" w:eastAsia="楷体_GB2312" w:cs="楷体_GB2312"/>
          <w:sz w:val="32"/>
          <w:szCs w:val="32"/>
        </w:rPr>
      </w:pPr>
      <w:r>
        <w:rPr>
          <w:rFonts w:hint="eastAsia" w:ascii="楷体_GB2312" w:hAnsi="楷体_GB2312" w:eastAsia="楷体_GB2312" w:cs="楷体_GB2312"/>
          <w:b/>
          <w:bCs/>
          <w:sz w:val="32"/>
          <w:szCs w:val="32"/>
        </w:rPr>
        <w:t>（一）任务来源</w:t>
      </w:r>
    </w:p>
    <w:p w14:paraId="2ED4EC0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sz w:val="32"/>
          <w:szCs w:val="32"/>
        </w:rPr>
        <w:t>经江西省农业技术推广中心申请提出，202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年9月</w:t>
      </w:r>
      <w:r>
        <w:rPr>
          <w:rFonts w:hint="eastAsia" w:ascii="仿宋_GB2312" w:hAnsi="仿宋_GB2312" w:eastAsia="仿宋_GB2312" w:cs="仿宋_GB2312"/>
          <w:sz w:val="32"/>
          <w:szCs w:val="32"/>
          <w:lang w:val="en-US" w:eastAsia="zh-CN"/>
        </w:rPr>
        <w:t>25</w:t>
      </w:r>
      <w:r>
        <w:rPr>
          <w:rFonts w:hint="eastAsia" w:ascii="仿宋_GB2312" w:hAnsi="仿宋_GB2312" w:eastAsia="仿宋_GB2312" w:cs="仿宋_GB2312"/>
          <w:sz w:val="32"/>
          <w:szCs w:val="32"/>
        </w:rPr>
        <w:t>日江西省农业农村厅《关于报送202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年第</w:t>
      </w:r>
      <w:r>
        <w:rPr>
          <w:rFonts w:hint="eastAsia" w:ascii="仿宋_GB2312" w:hAnsi="仿宋_GB2312" w:eastAsia="仿宋_GB2312" w:cs="仿宋_GB2312"/>
          <w:sz w:val="32"/>
          <w:szCs w:val="32"/>
          <w:lang w:eastAsia="zh-CN"/>
        </w:rPr>
        <w:t>五</w:t>
      </w:r>
      <w:r>
        <w:rPr>
          <w:rFonts w:hint="eastAsia" w:ascii="仿宋_GB2312" w:hAnsi="仿宋_GB2312" w:eastAsia="仿宋_GB2312" w:cs="仿宋_GB2312"/>
          <w:sz w:val="32"/>
          <w:szCs w:val="32"/>
        </w:rPr>
        <w:t>批江西省农业地方标准计划项目的</w:t>
      </w:r>
      <w:r>
        <w:rPr>
          <w:rFonts w:hint="eastAsia" w:ascii="仿宋_GB2312" w:hAnsi="仿宋_GB2312" w:eastAsia="仿宋_GB2312" w:cs="仿宋_GB2312"/>
          <w:sz w:val="32"/>
          <w:szCs w:val="32"/>
          <w:lang w:eastAsia="zh-CN"/>
        </w:rPr>
        <w:t>函</w:t>
      </w:r>
      <w:r>
        <w:rPr>
          <w:rFonts w:hint="eastAsia" w:ascii="仿宋_GB2312" w:hAnsi="仿宋_GB2312" w:eastAsia="仿宋_GB2312" w:cs="仿宋_GB2312"/>
          <w:sz w:val="32"/>
          <w:szCs w:val="32"/>
        </w:rPr>
        <w:t>》，向省市场监管局申报《</w:t>
      </w:r>
      <w:bookmarkStart w:id="1" w:name="OLE_LINK3"/>
      <w:r>
        <w:rPr>
          <w:rFonts w:hint="eastAsia" w:ascii="仿宋_GB2312" w:hAnsi="仿宋_GB2312" w:eastAsia="仿宋_GB2312" w:cs="仿宋_GB2312"/>
          <w:sz w:val="32"/>
          <w:szCs w:val="32"/>
          <w:lang w:eastAsia="zh-CN"/>
        </w:rPr>
        <w:t>青饲玉米机械化生产技术规程</w:t>
      </w:r>
      <w:bookmarkEnd w:id="1"/>
      <w:r>
        <w:rPr>
          <w:rFonts w:hint="eastAsia" w:ascii="仿宋_GB2312" w:hAnsi="仿宋_GB2312" w:eastAsia="仿宋_GB2312" w:cs="仿宋_GB2312"/>
          <w:sz w:val="32"/>
          <w:szCs w:val="32"/>
        </w:rPr>
        <w:t>》地方标准的立项。</w:t>
      </w:r>
      <w:r>
        <w:rPr>
          <w:rFonts w:hint="eastAsia" w:ascii="仿宋_GB2312" w:hAnsi="仿宋_GB2312" w:eastAsia="仿宋_GB2312" w:cs="仿宋_GB2312"/>
          <w:bCs/>
          <w:sz w:val="32"/>
          <w:szCs w:val="32"/>
        </w:rPr>
        <w:t>并经江西省市场监管局组织立项评审，下达项目计划《江西省市场监管局</w:t>
      </w:r>
      <w:bookmarkStart w:id="2" w:name="OLE_LINK1"/>
      <w:r>
        <w:rPr>
          <w:rFonts w:hint="eastAsia" w:ascii="仿宋_GB2312" w:hAnsi="仿宋_GB2312" w:eastAsia="仿宋_GB2312" w:cs="仿宋_GB2312"/>
          <w:bCs/>
          <w:sz w:val="32"/>
          <w:szCs w:val="32"/>
        </w:rPr>
        <w:t>关于下达202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年第</w:t>
      </w:r>
      <w:r>
        <w:rPr>
          <w:rFonts w:hint="eastAsia" w:ascii="仿宋_GB2312" w:hAnsi="仿宋_GB2312" w:eastAsia="仿宋_GB2312" w:cs="仿宋_GB2312"/>
          <w:bCs/>
          <w:sz w:val="32"/>
          <w:szCs w:val="32"/>
          <w:lang w:eastAsia="zh-CN"/>
        </w:rPr>
        <w:t>一</w:t>
      </w:r>
      <w:r>
        <w:rPr>
          <w:rFonts w:hint="eastAsia" w:ascii="仿宋_GB2312" w:hAnsi="仿宋_GB2312" w:eastAsia="仿宋_GB2312" w:cs="仿宋_GB2312"/>
          <w:bCs/>
          <w:sz w:val="32"/>
          <w:szCs w:val="32"/>
        </w:rPr>
        <w:t>批</w:t>
      </w:r>
      <w:r>
        <w:rPr>
          <w:rFonts w:hint="eastAsia" w:ascii="仿宋_GB2312" w:hAnsi="仿宋_GB2312" w:eastAsia="仿宋_GB2312" w:cs="仿宋_GB2312"/>
          <w:bCs/>
          <w:sz w:val="32"/>
          <w:szCs w:val="32"/>
          <w:lang w:eastAsia="zh-CN"/>
        </w:rPr>
        <w:t>江西省地方标准</w:t>
      </w:r>
      <w:r>
        <w:rPr>
          <w:rFonts w:hint="eastAsia" w:ascii="仿宋_GB2312" w:hAnsi="仿宋_GB2312" w:eastAsia="仿宋_GB2312" w:cs="仿宋_GB2312"/>
          <w:bCs/>
          <w:sz w:val="32"/>
          <w:szCs w:val="32"/>
        </w:rPr>
        <w:t>制修订计划的通知</w:t>
      </w:r>
      <w:bookmarkEnd w:id="2"/>
      <w:r>
        <w:rPr>
          <w:rFonts w:hint="eastAsia" w:ascii="仿宋_GB2312" w:hAnsi="仿宋_GB2312" w:eastAsia="仿宋_GB2312" w:cs="仿宋_GB2312"/>
          <w:bCs/>
          <w:sz w:val="32"/>
          <w:szCs w:val="32"/>
        </w:rPr>
        <w:t>》，批准立项制定《</w:t>
      </w:r>
      <w:r>
        <w:rPr>
          <w:rFonts w:hint="eastAsia" w:ascii="仿宋_GB2312" w:hAnsi="仿宋_GB2312" w:eastAsia="仿宋_GB2312" w:cs="仿宋_GB2312"/>
          <w:sz w:val="32"/>
          <w:szCs w:val="32"/>
          <w:lang w:eastAsia="zh-CN"/>
        </w:rPr>
        <w:t>青饲玉米机械化生产技术规程</w:t>
      </w:r>
      <w:r>
        <w:rPr>
          <w:rFonts w:hint="eastAsia" w:ascii="仿宋_GB2312" w:hAnsi="仿宋_GB2312" w:eastAsia="仿宋_GB2312" w:cs="仿宋_GB2312"/>
          <w:bCs/>
          <w:sz w:val="32"/>
          <w:szCs w:val="32"/>
        </w:rPr>
        <w:t>》地方标准，计划编号DB36-202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08</w:t>
      </w:r>
      <w:r>
        <w:rPr>
          <w:rFonts w:hint="eastAsia" w:ascii="仿宋_GB2312" w:hAnsi="仿宋_GB2312" w:eastAsia="仿宋_GB2312" w:cs="仿宋_GB2312"/>
          <w:bCs/>
          <w:sz w:val="32"/>
          <w:szCs w:val="32"/>
        </w:rPr>
        <w:t>。</w:t>
      </w:r>
    </w:p>
    <w:p w14:paraId="6466EACC">
      <w:pPr>
        <w:spacing w:line="560" w:lineRule="exact"/>
        <w:ind w:firstLine="643" w:firstLineChars="200"/>
        <w:rPr>
          <w:rFonts w:ascii="楷体_GB2312" w:hAnsi="楷体_GB2312" w:eastAsia="楷体_GB2312" w:cs="楷体_GB2312"/>
          <w:b/>
          <w:bCs/>
          <w:color w:val="FF0000"/>
          <w:sz w:val="32"/>
          <w:szCs w:val="32"/>
        </w:rPr>
      </w:pPr>
      <w:r>
        <w:rPr>
          <w:rFonts w:hint="eastAsia" w:ascii="楷体_GB2312" w:hAnsi="楷体_GB2312" w:eastAsia="楷体_GB2312" w:cs="楷体_GB2312"/>
          <w:b/>
          <w:bCs/>
          <w:sz w:val="32"/>
          <w:szCs w:val="32"/>
        </w:rPr>
        <w:t>（二）起草单位、协作单位</w:t>
      </w:r>
    </w:p>
    <w:p w14:paraId="7E49D8CA">
      <w:pPr>
        <w:pStyle w:val="4"/>
        <w:spacing w:line="560" w:lineRule="exact"/>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起草单位：江西省农业技术推广中心</w:t>
      </w:r>
      <w:r>
        <w:rPr>
          <w:rFonts w:hint="eastAsia" w:ascii="仿宋_GB2312" w:hAnsi="仿宋_GB2312" w:eastAsia="仿宋_GB2312" w:cs="仿宋_GB2312"/>
          <w:sz w:val="32"/>
          <w:szCs w:val="32"/>
          <w:lang w:eastAsia="zh-CN"/>
        </w:rPr>
        <w:t>。</w:t>
      </w:r>
    </w:p>
    <w:p w14:paraId="0C1374CC">
      <w:pPr>
        <w:spacing w:line="560" w:lineRule="exact"/>
        <w:ind w:firstLine="643" w:firstLineChars="200"/>
        <w:rPr>
          <w:rFonts w:ascii="仿宋" w:hAnsi="仿宋" w:eastAsia="仿宋"/>
          <w:b/>
          <w:bCs/>
          <w:sz w:val="32"/>
          <w:szCs w:val="32"/>
        </w:rPr>
      </w:pPr>
      <w:r>
        <w:rPr>
          <w:rFonts w:hint="eastAsia" w:ascii="楷体_GB2312" w:hAnsi="楷体_GB2312" w:eastAsia="楷体_GB2312" w:cs="楷体_GB2312"/>
          <w:b/>
          <w:bCs/>
          <w:sz w:val="32"/>
          <w:szCs w:val="32"/>
        </w:rPr>
        <w:t>（三）主要起草人</w:t>
      </w:r>
    </w:p>
    <w:tbl>
      <w:tblPr>
        <w:tblStyle w:val="2"/>
        <w:tblW w:w="8522"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118"/>
        <w:gridCol w:w="823"/>
        <w:gridCol w:w="2133"/>
        <w:gridCol w:w="3056"/>
        <w:gridCol w:w="1392"/>
      </w:tblGrid>
      <w:tr w14:paraId="7E9492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4" w:hRule="atLeast"/>
          <w:jc w:val="center"/>
        </w:trPr>
        <w:tc>
          <w:tcPr>
            <w:tcW w:w="1118" w:type="dxa"/>
            <w:vAlign w:val="center"/>
          </w:tcPr>
          <w:p w14:paraId="1BE72924">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姓</w:t>
            </w:r>
            <w:r>
              <w:rPr>
                <w:rFonts w:ascii="仿宋_GB2312" w:hAnsi="仿宋_GB2312" w:eastAsia="仿宋_GB2312" w:cs="仿宋_GB2312"/>
                <w:szCs w:val="21"/>
              </w:rPr>
              <w:t xml:space="preserve"> </w:t>
            </w:r>
            <w:r>
              <w:rPr>
                <w:rFonts w:hint="eastAsia" w:ascii="仿宋_GB2312" w:hAnsi="仿宋_GB2312" w:eastAsia="仿宋_GB2312" w:cs="仿宋_GB2312"/>
                <w:szCs w:val="21"/>
              </w:rPr>
              <w:t>名</w:t>
            </w:r>
          </w:p>
        </w:tc>
        <w:tc>
          <w:tcPr>
            <w:tcW w:w="823" w:type="dxa"/>
            <w:vAlign w:val="center"/>
          </w:tcPr>
          <w:p w14:paraId="570AF18E">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性别</w:t>
            </w:r>
          </w:p>
        </w:tc>
        <w:tc>
          <w:tcPr>
            <w:tcW w:w="2133" w:type="dxa"/>
            <w:vAlign w:val="center"/>
          </w:tcPr>
          <w:p w14:paraId="23A16A25">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职务</w:t>
            </w:r>
            <w:r>
              <w:rPr>
                <w:rFonts w:ascii="仿宋_GB2312" w:hAnsi="仿宋_GB2312" w:eastAsia="仿宋_GB2312" w:cs="仿宋_GB2312"/>
                <w:szCs w:val="21"/>
              </w:rPr>
              <w:t>/</w:t>
            </w:r>
            <w:r>
              <w:rPr>
                <w:rFonts w:hint="eastAsia" w:ascii="仿宋_GB2312" w:hAnsi="仿宋_GB2312" w:eastAsia="仿宋_GB2312" w:cs="仿宋_GB2312"/>
                <w:szCs w:val="21"/>
              </w:rPr>
              <w:t>职称</w:t>
            </w:r>
          </w:p>
        </w:tc>
        <w:tc>
          <w:tcPr>
            <w:tcW w:w="3056" w:type="dxa"/>
            <w:vAlign w:val="center"/>
          </w:tcPr>
          <w:p w14:paraId="1B0AF576">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工作单位</w:t>
            </w:r>
          </w:p>
        </w:tc>
        <w:tc>
          <w:tcPr>
            <w:tcW w:w="1392" w:type="dxa"/>
            <w:vAlign w:val="center"/>
          </w:tcPr>
          <w:p w14:paraId="4CFFEFE6">
            <w:pPr>
              <w:spacing w:line="480" w:lineRule="exact"/>
              <w:jc w:val="center"/>
              <w:rPr>
                <w:rFonts w:ascii="仿宋_GB2312" w:hAnsi="仿宋_GB2312" w:eastAsia="仿宋_GB2312" w:cs="仿宋_GB2312"/>
                <w:szCs w:val="21"/>
              </w:rPr>
            </w:pPr>
            <w:r>
              <w:rPr>
                <w:rFonts w:hint="eastAsia" w:ascii="仿宋_GB2312" w:hAnsi="仿宋_GB2312" w:eastAsia="仿宋_GB2312" w:cs="仿宋_GB2312"/>
                <w:szCs w:val="21"/>
              </w:rPr>
              <w:t>任务分工</w:t>
            </w:r>
          </w:p>
        </w:tc>
      </w:tr>
      <w:tr w14:paraId="15F6A5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7397B7FD">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徐桂花</w:t>
            </w:r>
          </w:p>
        </w:tc>
        <w:tc>
          <w:tcPr>
            <w:tcW w:w="823" w:type="dxa"/>
            <w:vAlign w:val="center"/>
          </w:tcPr>
          <w:p w14:paraId="38684317">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1F4E5229">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正高</w:t>
            </w:r>
            <w:r>
              <w:rPr>
                <w:rFonts w:hint="eastAsia" w:ascii="仿宋_GB2312" w:hAnsi="仿宋_GB2312" w:eastAsia="仿宋_GB2312" w:cs="仿宋_GB2312"/>
                <w:szCs w:val="21"/>
              </w:rPr>
              <w:t>级畜牧师</w:t>
            </w:r>
          </w:p>
        </w:tc>
        <w:tc>
          <w:tcPr>
            <w:tcW w:w="3056" w:type="dxa"/>
            <w:vAlign w:val="center"/>
          </w:tcPr>
          <w:p w14:paraId="684D928F">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40158E5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主</w:t>
            </w:r>
            <w:r>
              <w:rPr>
                <w:rFonts w:ascii="仿宋_GB2312" w:hAnsi="仿宋_GB2312" w:eastAsia="仿宋_GB2312" w:cs="仿宋_GB2312"/>
                <w:szCs w:val="21"/>
              </w:rPr>
              <w:t xml:space="preserve"> </w:t>
            </w:r>
            <w:r>
              <w:rPr>
                <w:rFonts w:hint="eastAsia" w:ascii="仿宋_GB2312" w:hAnsi="仿宋_GB2312" w:eastAsia="仿宋_GB2312" w:cs="仿宋_GB2312"/>
                <w:szCs w:val="21"/>
              </w:rPr>
              <w:t>持</w:t>
            </w:r>
          </w:p>
        </w:tc>
      </w:tr>
      <w:tr w14:paraId="5CB8D5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30F07D3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顾瑶</w:t>
            </w:r>
          </w:p>
        </w:tc>
        <w:tc>
          <w:tcPr>
            <w:tcW w:w="823" w:type="dxa"/>
            <w:vAlign w:val="center"/>
          </w:tcPr>
          <w:p w14:paraId="7BAE9D1C">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5E94FB0D">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畜牧兽医师</w:t>
            </w:r>
          </w:p>
        </w:tc>
        <w:tc>
          <w:tcPr>
            <w:tcW w:w="3056" w:type="dxa"/>
            <w:vAlign w:val="center"/>
          </w:tcPr>
          <w:p w14:paraId="27A67588">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35447C1D">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189596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0" w:hRule="atLeast"/>
          <w:jc w:val="center"/>
        </w:trPr>
        <w:tc>
          <w:tcPr>
            <w:tcW w:w="1118" w:type="dxa"/>
            <w:vAlign w:val="center"/>
          </w:tcPr>
          <w:p w14:paraId="7B31951F">
            <w:pPr>
              <w:pStyle w:val="4"/>
              <w:autoSpaceDE/>
              <w:autoSpaceDN/>
              <w:spacing w:line="400" w:lineRule="exact"/>
              <w:ind w:firstLine="0" w:firstLineChars="0"/>
              <w:jc w:val="center"/>
              <w:rPr>
                <w:rFonts w:hint="eastAsia" w:ascii="仿宋_GB2312" w:hAnsi="仿宋_GB2312" w:eastAsia="仿宋_GB2312" w:cs="仿宋_GB2312"/>
                <w:szCs w:val="21"/>
              </w:rPr>
            </w:pPr>
            <w:bookmarkStart w:id="3" w:name="OLE_LINK4"/>
            <w:r>
              <w:rPr>
                <w:rFonts w:hint="eastAsia" w:ascii="仿宋_GB2312" w:hAnsi="仿宋_GB2312" w:eastAsia="仿宋_GB2312" w:cs="仿宋_GB2312"/>
                <w:szCs w:val="21"/>
                <w:lang w:eastAsia="zh-CN"/>
              </w:rPr>
              <w:t>万华敏</w:t>
            </w:r>
            <w:bookmarkEnd w:id="3"/>
          </w:p>
        </w:tc>
        <w:tc>
          <w:tcPr>
            <w:tcW w:w="823" w:type="dxa"/>
            <w:vAlign w:val="center"/>
          </w:tcPr>
          <w:p w14:paraId="17C82889">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2926EF1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畜牧兽医师</w:t>
            </w:r>
          </w:p>
        </w:tc>
        <w:tc>
          <w:tcPr>
            <w:tcW w:w="3056" w:type="dxa"/>
            <w:vAlign w:val="center"/>
          </w:tcPr>
          <w:p w14:paraId="4BFFC7B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top"/>
          </w:tcPr>
          <w:p w14:paraId="2C609607">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参与制订</w:t>
            </w:r>
          </w:p>
        </w:tc>
      </w:tr>
      <w:tr w14:paraId="4DC7E6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21728A4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彭旭艺</w:t>
            </w:r>
          </w:p>
        </w:tc>
        <w:tc>
          <w:tcPr>
            <w:tcW w:w="823" w:type="dxa"/>
            <w:vAlign w:val="center"/>
          </w:tcPr>
          <w:p w14:paraId="3B7F0437">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4C29E659">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助理</w:t>
            </w:r>
            <w:r>
              <w:rPr>
                <w:rFonts w:hint="eastAsia" w:ascii="仿宋_GB2312" w:hAnsi="仿宋_GB2312" w:eastAsia="仿宋_GB2312" w:cs="仿宋_GB2312"/>
                <w:szCs w:val="21"/>
              </w:rPr>
              <w:t>畜牧师</w:t>
            </w:r>
          </w:p>
        </w:tc>
        <w:tc>
          <w:tcPr>
            <w:tcW w:w="3056" w:type="dxa"/>
            <w:vAlign w:val="center"/>
          </w:tcPr>
          <w:p w14:paraId="2328595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center"/>
          </w:tcPr>
          <w:p w14:paraId="1C1E5356">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208321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3AD0FB3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高朝煜</w:t>
            </w:r>
          </w:p>
        </w:tc>
        <w:tc>
          <w:tcPr>
            <w:tcW w:w="823" w:type="dxa"/>
            <w:vAlign w:val="center"/>
          </w:tcPr>
          <w:p w14:paraId="2FE056E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4167D5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助理</w:t>
            </w:r>
            <w:r>
              <w:rPr>
                <w:rFonts w:hint="eastAsia" w:ascii="仿宋_GB2312" w:hAnsi="仿宋_GB2312" w:eastAsia="仿宋_GB2312" w:cs="仿宋_GB2312"/>
                <w:szCs w:val="21"/>
              </w:rPr>
              <w:t>畜牧师</w:t>
            </w:r>
          </w:p>
        </w:tc>
        <w:tc>
          <w:tcPr>
            <w:tcW w:w="3056" w:type="dxa"/>
            <w:vAlign w:val="center"/>
          </w:tcPr>
          <w:p w14:paraId="1E626FB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top"/>
          </w:tcPr>
          <w:p w14:paraId="4601720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参与制订</w:t>
            </w:r>
          </w:p>
        </w:tc>
      </w:tr>
      <w:tr w14:paraId="10EA66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2E4D8F7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刘继明</w:t>
            </w:r>
          </w:p>
        </w:tc>
        <w:tc>
          <w:tcPr>
            <w:tcW w:w="823" w:type="dxa"/>
            <w:vAlign w:val="center"/>
          </w:tcPr>
          <w:p w14:paraId="70318FA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4C7723F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0FAF60D2">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vAlign w:val="center"/>
          </w:tcPr>
          <w:p w14:paraId="5EF9D22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6F1B29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3D0F73D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刘水华</w:t>
            </w:r>
          </w:p>
        </w:tc>
        <w:tc>
          <w:tcPr>
            <w:tcW w:w="823" w:type="dxa"/>
            <w:vAlign w:val="center"/>
          </w:tcPr>
          <w:p w14:paraId="507A3B87">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3645C6E7">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4D24BD73">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24EDEE7D">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1AE5A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28930B9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谢艺潇</w:t>
            </w:r>
          </w:p>
        </w:tc>
        <w:tc>
          <w:tcPr>
            <w:tcW w:w="823" w:type="dxa"/>
            <w:vAlign w:val="center"/>
          </w:tcPr>
          <w:p w14:paraId="0FC547A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43BAE4A2">
            <w:pPr>
              <w:jc w:val="center"/>
              <w:rPr>
                <w:rFonts w:hint="eastAsia" w:ascii="仿宋_GB2312" w:hAnsi="仿宋_GB2312" w:eastAsia="仿宋_GB2312" w:cs="仿宋_GB2312"/>
                <w:szCs w:val="21"/>
              </w:rPr>
            </w:pPr>
            <w:r>
              <w:rPr>
                <w:rFonts w:hint="eastAsia" w:ascii="仿宋" w:hAnsi="仿宋" w:eastAsia="仿宋" w:cs="仿宋"/>
                <w:sz w:val="24"/>
                <w:lang w:eastAsia="zh-CN"/>
              </w:rPr>
              <w:t>副教授</w:t>
            </w:r>
          </w:p>
        </w:tc>
        <w:tc>
          <w:tcPr>
            <w:tcW w:w="3056" w:type="dxa"/>
            <w:vAlign w:val="center"/>
          </w:tcPr>
          <w:p w14:paraId="06DD3133">
            <w:pPr>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贵州大学</w:t>
            </w:r>
          </w:p>
        </w:tc>
        <w:tc>
          <w:tcPr>
            <w:tcW w:w="1392" w:type="dxa"/>
            <w:vAlign w:val="top"/>
          </w:tcPr>
          <w:p w14:paraId="20C77F4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技术指导</w:t>
            </w:r>
          </w:p>
        </w:tc>
      </w:tr>
      <w:tr w14:paraId="5A804D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48F1467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黄 栋</w:t>
            </w:r>
          </w:p>
        </w:tc>
        <w:tc>
          <w:tcPr>
            <w:tcW w:w="823" w:type="dxa"/>
            <w:vAlign w:val="center"/>
          </w:tcPr>
          <w:p w14:paraId="40A94155">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366C4B4B">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0F80A894">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6E2B027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1AE48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7" w:hRule="atLeast"/>
          <w:jc w:val="center"/>
        </w:trPr>
        <w:tc>
          <w:tcPr>
            <w:tcW w:w="1118" w:type="dxa"/>
            <w:vAlign w:val="center"/>
          </w:tcPr>
          <w:p w14:paraId="0C47B1E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计接权</w:t>
            </w:r>
          </w:p>
        </w:tc>
        <w:tc>
          <w:tcPr>
            <w:tcW w:w="823" w:type="dxa"/>
            <w:vAlign w:val="center"/>
          </w:tcPr>
          <w:p w14:paraId="1D70D1C9">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4216E0B">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20281B10">
            <w:pPr>
              <w:jc w:val="center"/>
              <w:rPr>
                <w:rFonts w:hint="eastAsia" w:ascii="仿宋_GB2312" w:hAnsi="仿宋_GB2312" w:eastAsia="仿宋_GB2312" w:cs="仿宋_GB2312"/>
                <w:szCs w:val="21"/>
              </w:rPr>
            </w:pPr>
            <w:r>
              <w:rPr>
                <w:rFonts w:hint="eastAsia" w:ascii="仿宋" w:hAnsi="仿宋" w:eastAsia="仿宋" w:cs="仿宋"/>
                <w:sz w:val="24"/>
                <w:lang w:eastAsia="zh-CN"/>
              </w:rPr>
              <w:t>浮梁县农业农村局</w:t>
            </w:r>
          </w:p>
        </w:tc>
        <w:tc>
          <w:tcPr>
            <w:tcW w:w="1392" w:type="dxa"/>
            <w:vAlign w:val="top"/>
          </w:tcPr>
          <w:p w14:paraId="51248DE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3D39D6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dxa"/>
            <w:vAlign w:val="center"/>
          </w:tcPr>
          <w:p w14:paraId="117EDF1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付戴波</w:t>
            </w:r>
          </w:p>
        </w:tc>
        <w:tc>
          <w:tcPr>
            <w:tcW w:w="823" w:type="dxa"/>
            <w:vAlign w:val="center"/>
          </w:tcPr>
          <w:p w14:paraId="2292C94F">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74DFC23">
            <w:pPr>
              <w:jc w:val="center"/>
              <w:rPr>
                <w:rFonts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29263FAE">
            <w:pPr>
              <w:jc w:val="center"/>
              <w:rPr>
                <w:rFonts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23D6CDA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33DC9A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118" w:type="dxa"/>
            <w:vAlign w:val="center"/>
          </w:tcPr>
          <w:p w14:paraId="77889DB6">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赵颖绮</w:t>
            </w:r>
          </w:p>
        </w:tc>
        <w:tc>
          <w:tcPr>
            <w:tcW w:w="823" w:type="dxa"/>
            <w:vAlign w:val="center"/>
          </w:tcPr>
          <w:p w14:paraId="510C987F">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8E00A43">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6FA2A77C">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4281B56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71516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4A146F5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孙 剑</w:t>
            </w:r>
          </w:p>
        </w:tc>
        <w:tc>
          <w:tcPr>
            <w:tcW w:w="823" w:type="dxa"/>
            <w:vAlign w:val="center"/>
          </w:tcPr>
          <w:p w14:paraId="74A8F0B1">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4955083A">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高级畜牧兽医师</w:t>
            </w:r>
          </w:p>
        </w:tc>
        <w:tc>
          <w:tcPr>
            <w:tcW w:w="3056" w:type="dxa"/>
            <w:vAlign w:val="center"/>
          </w:tcPr>
          <w:p w14:paraId="3DC94F3E">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江西省农业技术推广中心</w:t>
            </w:r>
          </w:p>
        </w:tc>
        <w:tc>
          <w:tcPr>
            <w:tcW w:w="1392" w:type="dxa"/>
          </w:tcPr>
          <w:p w14:paraId="5CC2A6D0">
            <w:pPr>
              <w:pStyle w:val="4"/>
              <w:autoSpaceDE/>
              <w:autoSpaceDN/>
              <w:spacing w:line="400" w:lineRule="exact"/>
              <w:ind w:firstLine="0" w:firstLineChars="0"/>
              <w:jc w:val="center"/>
              <w:rPr>
                <w:rFonts w:ascii="仿宋_GB2312" w:hAnsi="仿宋_GB2312" w:eastAsia="仿宋_GB2312" w:cs="仿宋_GB2312"/>
                <w:szCs w:val="21"/>
              </w:rPr>
            </w:pPr>
            <w:r>
              <w:rPr>
                <w:rFonts w:hint="eastAsia" w:ascii="仿宋_GB2312" w:hAnsi="仿宋_GB2312" w:eastAsia="仿宋_GB2312" w:cs="仿宋_GB2312"/>
                <w:szCs w:val="21"/>
              </w:rPr>
              <w:t>参与制订</w:t>
            </w:r>
          </w:p>
        </w:tc>
      </w:tr>
      <w:tr w14:paraId="7E52C57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6F7896D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范明</w:t>
            </w:r>
          </w:p>
        </w:tc>
        <w:tc>
          <w:tcPr>
            <w:tcW w:w="823" w:type="dxa"/>
            <w:vAlign w:val="center"/>
          </w:tcPr>
          <w:p w14:paraId="48A2A4CD">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7AF96B2D">
            <w:pPr>
              <w:jc w:val="center"/>
              <w:rPr>
                <w:rFonts w:hint="eastAsia" w:ascii="仿宋_GB2312" w:hAnsi="仿宋_GB2312" w:eastAsia="仿宋_GB2312" w:cs="仿宋_GB2312"/>
                <w:szCs w:val="21"/>
              </w:rPr>
            </w:pPr>
            <w:r>
              <w:rPr>
                <w:rFonts w:hint="eastAsia" w:ascii="仿宋" w:hAnsi="仿宋" w:eastAsia="仿宋" w:cs="仿宋"/>
                <w:sz w:val="24"/>
                <w:lang w:eastAsia="zh-CN"/>
              </w:rPr>
              <w:t>助理畜牧兽医师</w:t>
            </w:r>
          </w:p>
        </w:tc>
        <w:tc>
          <w:tcPr>
            <w:tcW w:w="3056" w:type="dxa"/>
            <w:vAlign w:val="center"/>
          </w:tcPr>
          <w:p w14:paraId="6F25B6DB">
            <w:pPr>
              <w:jc w:val="center"/>
              <w:rPr>
                <w:rFonts w:hint="eastAsia" w:ascii="仿宋_GB2312" w:hAnsi="仿宋_GB2312" w:eastAsia="仿宋_GB2312" w:cs="仿宋_GB2312"/>
                <w:szCs w:val="21"/>
              </w:rPr>
            </w:pPr>
            <w:r>
              <w:rPr>
                <w:rFonts w:hint="eastAsia" w:ascii="仿宋" w:hAnsi="仿宋" w:eastAsia="仿宋" w:cs="仿宋"/>
                <w:sz w:val="24"/>
                <w:lang w:eastAsia="zh-CN"/>
              </w:rPr>
              <w:t>江西省农业技术推广中心</w:t>
            </w:r>
          </w:p>
        </w:tc>
        <w:tc>
          <w:tcPr>
            <w:tcW w:w="1392" w:type="dxa"/>
            <w:vAlign w:val="top"/>
          </w:tcPr>
          <w:p w14:paraId="5069DA26">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示范与推广</w:t>
            </w:r>
          </w:p>
        </w:tc>
      </w:tr>
      <w:tr w14:paraId="678B57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1C52226">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李道华</w:t>
            </w:r>
          </w:p>
        </w:tc>
        <w:tc>
          <w:tcPr>
            <w:tcW w:w="823" w:type="dxa"/>
            <w:vAlign w:val="center"/>
          </w:tcPr>
          <w:p w14:paraId="335C74C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231CEA2D">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62A86600">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62E41CB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7C99A8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FB2DA9A">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彭建</w:t>
            </w:r>
          </w:p>
        </w:tc>
        <w:tc>
          <w:tcPr>
            <w:tcW w:w="823" w:type="dxa"/>
            <w:vAlign w:val="center"/>
          </w:tcPr>
          <w:p w14:paraId="4C728244">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11D54E6B">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4DC07E64">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598591C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5790DB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4314EF1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曹雪琴</w:t>
            </w:r>
          </w:p>
        </w:tc>
        <w:tc>
          <w:tcPr>
            <w:tcW w:w="823" w:type="dxa"/>
            <w:vAlign w:val="center"/>
          </w:tcPr>
          <w:p w14:paraId="52F2A47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0D010848">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3DDA4DCE">
            <w:pPr>
              <w:jc w:val="center"/>
              <w:rPr>
                <w:rFonts w:hint="eastAsia" w:ascii="仿宋_GB2312" w:hAnsi="仿宋_GB2312" w:eastAsia="仿宋_GB2312" w:cs="仿宋_GB2312"/>
                <w:szCs w:val="21"/>
              </w:rPr>
            </w:pPr>
            <w:r>
              <w:rPr>
                <w:rFonts w:hint="eastAsia" w:ascii="仿宋" w:hAnsi="仿宋" w:eastAsia="仿宋" w:cs="仿宋"/>
                <w:sz w:val="24"/>
                <w:lang w:eastAsia="zh-CN"/>
              </w:rPr>
              <w:t>乐平市农业农村局</w:t>
            </w:r>
          </w:p>
        </w:tc>
        <w:tc>
          <w:tcPr>
            <w:tcW w:w="1392" w:type="dxa"/>
            <w:vAlign w:val="top"/>
          </w:tcPr>
          <w:p w14:paraId="4921BD9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6C190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73DD622B">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林孙权</w:t>
            </w:r>
          </w:p>
        </w:tc>
        <w:tc>
          <w:tcPr>
            <w:tcW w:w="823" w:type="dxa"/>
            <w:vAlign w:val="center"/>
          </w:tcPr>
          <w:p w14:paraId="1C903F3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880D063">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04D079D9">
            <w:pPr>
              <w:jc w:val="center"/>
              <w:rPr>
                <w:rFonts w:hint="eastAsia" w:ascii="仿宋_GB2312" w:hAnsi="仿宋_GB2312" w:eastAsia="仿宋_GB2312" w:cs="仿宋_GB2312"/>
                <w:szCs w:val="21"/>
              </w:rPr>
            </w:pPr>
            <w:r>
              <w:rPr>
                <w:rFonts w:hint="eastAsia" w:ascii="仿宋" w:hAnsi="仿宋" w:eastAsia="仿宋" w:cs="仿宋"/>
                <w:sz w:val="24"/>
                <w:lang w:eastAsia="zh-CN"/>
              </w:rPr>
              <w:t>广丰市农业农村局</w:t>
            </w:r>
          </w:p>
        </w:tc>
        <w:tc>
          <w:tcPr>
            <w:tcW w:w="1392" w:type="dxa"/>
            <w:vAlign w:val="top"/>
          </w:tcPr>
          <w:p w14:paraId="38682F59">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3887E5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152BFBC7">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许翔</w:t>
            </w:r>
          </w:p>
        </w:tc>
        <w:tc>
          <w:tcPr>
            <w:tcW w:w="823" w:type="dxa"/>
            <w:vAlign w:val="center"/>
          </w:tcPr>
          <w:p w14:paraId="4E0990C3">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7FF5D907">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4161B7A8">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0BACDCB1">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103887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0112F1C0">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lang w:eastAsia="zh-CN"/>
              </w:rPr>
              <w:t>杨珍</w:t>
            </w:r>
          </w:p>
        </w:tc>
        <w:tc>
          <w:tcPr>
            <w:tcW w:w="823" w:type="dxa"/>
            <w:vAlign w:val="center"/>
          </w:tcPr>
          <w:p w14:paraId="1B7CD7B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7ABCBBB6">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1EB52E70">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2969E966">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0687BE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FB3C0D7">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沈菲</w:t>
            </w:r>
          </w:p>
        </w:tc>
        <w:tc>
          <w:tcPr>
            <w:tcW w:w="823" w:type="dxa"/>
            <w:vAlign w:val="center"/>
          </w:tcPr>
          <w:p w14:paraId="0AA24922">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6F7D444A">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3FDC7AED">
            <w:pPr>
              <w:jc w:val="center"/>
              <w:rPr>
                <w:rFonts w:hint="eastAsia" w:ascii="仿宋_GB2312" w:hAnsi="仿宋_GB2312" w:eastAsia="仿宋_GB2312" w:cs="仿宋_GB2312"/>
                <w:szCs w:val="21"/>
              </w:rPr>
            </w:pPr>
            <w:r>
              <w:rPr>
                <w:rFonts w:hint="eastAsia" w:ascii="仿宋" w:hAnsi="仿宋" w:eastAsia="仿宋" w:cs="仿宋"/>
                <w:sz w:val="24"/>
                <w:lang w:eastAsia="zh-CN"/>
              </w:rPr>
              <w:t>九江市农业农村局</w:t>
            </w:r>
          </w:p>
        </w:tc>
        <w:tc>
          <w:tcPr>
            <w:tcW w:w="1392" w:type="dxa"/>
            <w:vAlign w:val="top"/>
          </w:tcPr>
          <w:p w14:paraId="3761DDF8">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0CDBB07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C14E058">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黎雄</w:t>
            </w:r>
          </w:p>
        </w:tc>
        <w:tc>
          <w:tcPr>
            <w:tcW w:w="823" w:type="dxa"/>
            <w:vAlign w:val="center"/>
          </w:tcPr>
          <w:p w14:paraId="270607F5">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0F51BDFA">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27F84ECB">
            <w:pPr>
              <w:jc w:val="center"/>
              <w:rPr>
                <w:rFonts w:hint="eastAsia" w:ascii="仿宋_GB2312" w:hAnsi="仿宋_GB2312" w:eastAsia="仿宋_GB2312" w:cs="仿宋_GB2312"/>
                <w:szCs w:val="21"/>
              </w:rPr>
            </w:pPr>
            <w:r>
              <w:rPr>
                <w:rFonts w:hint="eastAsia" w:ascii="仿宋" w:hAnsi="仿宋" w:eastAsia="仿宋" w:cs="仿宋"/>
                <w:sz w:val="24"/>
                <w:lang w:eastAsia="zh-CN"/>
              </w:rPr>
              <w:t>萍乡市农业科学研究中心</w:t>
            </w:r>
          </w:p>
        </w:tc>
        <w:tc>
          <w:tcPr>
            <w:tcW w:w="1392" w:type="dxa"/>
            <w:vAlign w:val="top"/>
          </w:tcPr>
          <w:p w14:paraId="73F3D05C">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51D3FE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3A1E6F99">
            <w:pPr>
              <w:pStyle w:val="4"/>
              <w:autoSpaceDE/>
              <w:autoSpaceDN/>
              <w:spacing w:line="400" w:lineRule="exact"/>
              <w:ind w:firstLine="0" w:firstLineChars="0"/>
              <w:jc w:val="center"/>
              <w:rPr>
                <w:rFonts w:hint="eastAsia" w:ascii="仿宋_GB2312" w:hAnsi="仿宋_GB2312" w:eastAsia="仿宋_GB2312" w:cs="仿宋_GB2312"/>
                <w:szCs w:val="21"/>
                <w:lang w:eastAsia="zh-CN"/>
              </w:rPr>
            </w:pPr>
            <w:r>
              <w:rPr>
                <w:rFonts w:hint="eastAsia" w:ascii="仿宋_GB2312" w:hAnsi="仿宋_GB2312" w:eastAsia="仿宋_GB2312" w:cs="仿宋_GB2312"/>
                <w:szCs w:val="21"/>
              </w:rPr>
              <w:t>应长君</w:t>
            </w:r>
          </w:p>
        </w:tc>
        <w:tc>
          <w:tcPr>
            <w:tcW w:w="823" w:type="dxa"/>
            <w:vAlign w:val="center"/>
          </w:tcPr>
          <w:p w14:paraId="2038045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406D8E47">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24899E31">
            <w:pPr>
              <w:jc w:val="center"/>
              <w:rPr>
                <w:rFonts w:hint="eastAsia" w:ascii="仿宋_GB2312" w:hAnsi="仿宋_GB2312" w:eastAsia="仿宋_GB2312" w:cs="仿宋_GB2312"/>
                <w:szCs w:val="21"/>
              </w:rPr>
            </w:pPr>
            <w:r>
              <w:rPr>
                <w:rFonts w:hint="eastAsia" w:ascii="仿宋" w:hAnsi="仿宋" w:eastAsia="仿宋" w:cs="仿宋"/>
                <w:sz w:val="24"/>
                <w:lang w:eastAsia="zh-CN"/>
              </w:rPr>
              <w:t>南昌县蒋巷镇人民政府</w:t>
            </w:r>
          </w:p>
        </w:tc>
        <w:tc>
          <w:tcPr>
            <w:tcW w:w="1392" w:type="dxa"/>
            <w:vAlign w:val="top"/>
          </w:tcPr>
          <w:p w14:paraId="51DFD033">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10415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3891804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孔晟</w:t>
            </w:r>
          </w:p>
        </w:tc>
        <w:tc>
          <w:tcPr>
            <w:tcW w:w="823" w:type="dxa"/>
            <w:vAlign w:val="center"/>
          </w:tcPr>
          <w:p w14:paraId="2BCCCD0E">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男</w:t>
            </w:r>
          </w:p>
        </w:tc>
        <w:tc>
          <w:tcPr>
            <w:tcW w:w="2133" w:type="dxa"/>
            <w:vAlign w:val="center"/>
          </w:tcPr>
          <w:p w14:paraId="6D970699">
            <w:pPr>
              <w:jc w:val="center"/>
              <w:rPr>
                <w:rFonts w:hint="eastAsia" w:ascii="仿宋_GB2312" w:hAnsi="仿宋_GB2312" w:eastAsia="仿宋_GB2312" w:cs="仿宋_GB2312"/>
                <w:szCs w:val="21"/>
              </w:rPr>
            </w:pPr>
            <w:r>
              <w:rPr>
                <w:rFonts w:hint="eastAsia" w:ascii="仿宋" w:hAnsi="仿宋" w:eastAsia="仿宋" w:cs="仿宋"/>
                <w:sz w:val="24"/>
                <w:lang w:eastAsia="zh-CN"/>
              </w:rPr>
              <w:t>高级畜牧兽医师</w:t>
            </w:r>
          </w:p>
        </w:tc>
        <w:tc>
          <w:tcPr>
            <w:tcW w:w="3056" w:type="dxa"/>
            <w:vAlign w:val="center"/>
          </w:tcPr>
          <w:p w14:paraId="3EC6BC0D">
            <w:pPr>
              <w:jc w:val="center"/>
              <w:rPr>
                <w:rFonts w:hint="eastAsia" w:ascii="仿宋_GB2312" w:hAnsi="仿宋_GB2312" w:eastAsia="仿宋_GB2312" w:cs="仿宋_GB2312"/>
                <w:szCs w:val="21"/>
              </w:rPr>
            </w:pPr>
            <w:r>
              <w:rPr>
                <w:rFonts w:hint="eastAsia" w:ascii="仿宋" w:hAnsi="仿宋" w:eastAsia="仿宋" w:cs="仿宋"/>
                <w:sz w:val="24"/>
                <w:lang w:eastAsia="zh-CN"/>
              </w:rPr>
              <w:t>峡江县农业农村局</w:t>
            </w:r>
          </w:p>
        </w:tc>
        <w:tc>
          <w:tcPr>
            <w:tcW w:w="1392" w:type="dxa"/>
            <w:vAlign w:val="top"/>
          </w:tcPr>
          <w:p w14:paraId="1BAAE9B0">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r w14:paraId="404F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5" w:hRule="atLeast"/>
          <w:jc w:val="center"/>
        </w:trPr>
        <w:tc>
          <w:tcPr>
            <w:tcW w:w="1118" w:type="dxa"/>
            <w:vAlign w:val="center"/>
          </w:tcPr>
          <w:p w14:paraId="2D5D68E0">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陈小花</w:t>
            </w:r>
          </w:p>
        </w:tc>
        <w:tc>
          <w:tcPr>
            <w:tcW w:w="823" w:type="dxa"/>
            <w:vAlign w:val="center"/>
          </w:tcPr>
          <w:p w14:paraId="71C7C18C">
            <w:pPr>
              <w:pStyle w:val="4"/>
              <w:autoSpaceDE/>
              <w:autoSpaceDN/>
              <w:spacing w:line="400" w:lineRule="exact"/>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rPr>
              <w:t>女</w:t>
            </w:r>
          </w:p>
        </w:tc>
        <w:tc>
          <w:tcPr>
            <w:tcW w:w="2133" w:type="dxa"/>
            <w:vAlign w:val="center"/>
          </w:tcPr>
          <w:p w14:paraId="38A9475F">
            <w:pPr>
              <w:jc w:val="center"/>
              <w:rPr>
                <w:rFonts w:hint="eastAsia" w:ascii="仿宋_GB2312" w:hAnsi="仿宋_GB2312" w:eastAsia="仿宋_GB2312" w:cs="仿宋_GB2312"/>
                <w:szCs w:val="21"/>
              </w:rPr>
            </w:pPr>
            <w:r>
              <w:rPr>
                <w:rFonts w:hint="eastAsia" w:ascii="仿宋" w:hAnsi="仿宋" w:eastAsia="仿宋" w:cs="仿宋"/>
                <w:sz w:val="24"/>
                <w:lang w:eastAsia="zh-CN"/>
              </w:rPr>
              <w:t>畜牧兽医师</w:t>
            </w:r>
          </w:p>
        </w:tc>
        <w:tc>
          <w:tcPr>
            <w:tcW w:w="3056" w:type="dxa"/>
            <w:vAlign w:val="center"/>
          </w:tcPr>
          <w:p w14:paraId="03C420A1">
            <w:pPr>
              <w:jc w:val="center"/>
              <w:rPr>
                <w:rFonts w:hint="eastAsia" w:ascii="仿宋_GB2312" w:hAnsi="仿宋_GB2312" w:eastAsia="仿宋_GB2312" w:cs="仿宋_GB2312"/>
                <w:szCs w:val="21"/>
              </w:rPr>
            </w:pPr>
            <w:r>
              <w:rPr>
                <w:rFonts w:hint="eastAsia" w:ascii="仿宋" w:hAnsi="仿宋" w:eastAsia="仿宋" w:cs="仿宋"/>
                <w:sz w:val="24"/>
                <w:lang w:eastAsia="zh-CN"/>
              </w:rPr>
              <w:t>广丰市农业农村局</w:t>
            </w:r>
          </w:p>
        </w:tc>
        <w:tc>
          <w:tcPr>
            <w:tcW w:w="1392" w:type="dxa"/>
            <w:vAlign w:val="top"/>
          </w:tcPr>
          <w:p w14:paraId="7C722E9C">
            <w:pPr>
              <w:pStyle w:val="4"/>
              <w:autoSpaceDE/>
              <w:autoSpaceDN/>
              <w:spacing w:line="240" w:lineRule="auto"/>
              <w:ind w:firstLine="0" w:firstLineChars="0"/>
              <w:jc w:val="center"/>
              <w:rPr>
                <w:rFonts w:hint="eastAsia" w:ascii="仿宋_GB2312" w:hAnsi="仿宋_GB2312" w:eastAsia="仿宋_GB2312" w:cs="仿宋_GB2312"/>
                <w:szCs w:val="21"/>
              </w:rPr>
            </w:pPr>
            <w:r>
              <w:rPr>
                <w:rFonts w:hint="eastAsia" w:ascii="仿宋_GB2312" w:hAnsi="仿宋_GB2312" w:eastAsia="仿宋_GB2312" w:cs="仿宋_GB2312"/>
                <w:szCs w:val="21"/>
                <w:lang w:eastAsia="zh-CN"/>
              </w:rPr>
              <w:t>本辖区调研示范与推广</w:t>
            </w:r>
          </w:p>
        </w:tc>
      </w:tr>
    </w:tbl>
    <w:p w14:paraId="4A3B0281">
      <w:pPr>
        <w:pStyle w:val="4"/>
        <w:spacing w:beforeLines="50" w:line="560" w:lineRule="exact"/>
        <w:ind w:firstLine="643"/>
        <w:rPr>
          <w:rFonts w:ascii="黑体" w:hAnsi="黑体" w:eastAsia="黑体" w:cs="黑体"/>
          <w:b/>
          <w:bCs/>
          <w:kern w:val="2"/>
          <w:sz w:val="32"/>
          <w:szCs w:val="32"/>
        </w:rPr>
      </w:pPr>
      <w:r>
        <w:rPr>
          <w:rFonts w:hint="eastAsia" w:ascii="黑体" w:hAnsi="黑体" w:eastAsia="黑体" w:cs="黑体"/>
          <w:b/>
          <w:bCs/>
          <w:sz w:val="32"/>
          <w:szCs w:val="32"/>
        </w:rPr>
        <w:t>二、制定（修订）标准的必要性和意义</w:t>
      </w:r>
      <w:r>
        <w:rPr>
          <w:rFonts w:ascii="黑体" w:hAnsi="黑体" w:eastAsia="黑体" w:cs="黑体"/>
          <w:b/>
          <w:bCs/>
          <w:kern w:val="2"/>
          <w:sz w:val="32"/>
          <w:szCs w:val="32"/>
        </w:rPr>
        <w:t xml:space="preserve"> </w:t>
      </w:r>
    </w:p>
    <w:p w14:paraId="2EAC6546">
      <w:pPr>
        <w:spacing w:line="560" w:lineRule="exact"/>
        <w:rPr>
          <w:rFonts w:hint="eastAsia" w:ascii="仿宋_GB2312" w:hAnsi="仿宋_GB2312" w:eastAsia="仿宋_GB2312" w:cs="仿宋_GB2312"/>
          <w:bCs/>
          <w:sz w:val="32"/>
          <w:szCs w:val="32"/>
          <w:lang w:val="en-US" w:eastAsia="zh-CN"/>
        </w:rPr>
      </w:pPr>
      <w:r>
        <w:rPr>
          <w:rFonts w:hint="eastAsia" w:ascii="仿宋_GB2312" w:hAnsi="仿宋_GB2312" w:eastAsia="仿宋_GB2312" w:cs="仿宋_GB2312"/>
          <w:bCs/>
          <w:sz w:val="32"/>
          <w:szCs w:val="32"/>
          <w:lang w:val="en-US" w:eastAsia="zh-CN"/>
        </w:rPr>
        <w:t xml:space="preserve">   </w:t>
      </w:r>
      <w:r>
        <w:rPr>
          <w:rFonts w:hint="eastAsia" w:ascii="仿宋_GB2312" w:hAnsi="仿宋_GB2312" w:eastAsia="仿宋_GB2312" w:cs="仿宋_GB2312"/>
          <w:b/>
          <w:bCs w:val="0"/>
          <w:sz w:val="32"/>
          <w:szCs w:val="32"/>
          <w:lang w:val="en-US" w:eastAsia="zh-CN"/>
        </w:rPr>
        <w:t xml:space="preserve"> (一)符合现代设施农业发展要求</w:t>
      </w:r>
    </w:p>
    <w:p w14:paraId="46C1E2E2">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val="en-US" w:eastAsia="zh-CN"/>
        </w:rPr>
        <w:t>《</w:t>
      </w:r>
      <w:r>
        <w:rPr>
          <w:rFonts w:hint="eastAsia" w:ascii="仿宋_GB2312" w:hAnsi="仿宋_GB2312" w:eastAsia="仿宋_GB2312" w:cs="仿宋_GB2312"/>
          <w:bCs/>
          <w:sz w:val="32"/>
          <w:szCs w:val="32"/>
        </w:rPr>
        <w:t>全国现代设施农业建设规划》（2023—2030年）</w:t>
      </w:r>
      <w:r>
        <w:rPr>
          <w:rFonts w:hint="eastAsia" w:ascii="仿宋_GB2312" w:hAnsi="仿宋_GB2312" w:eastAsia="仿宋_GB2312" w:cs="仿宋_GB2312"/>
          <w:bCs/>
          <w:sz w:val="32"/>
          <w:szCs w:val="32"/>
          <w:lang w:eastAsia="zh-CN"/>
        </w:rPr>
        <w:t>提出</w:t>
      </w:r>
      <w:r>
        <w:rPr>
          <w:rFonts w:hint="eastAsia" w:ascii="仿宋_GB2312" w:hAnsi="仿宋_GB2312" w:eastAsia="仿宋_GB2312" w:cs="仿宋_GB2312"/>
          <w:bCs/>
          <w:sz w:val="32"/>
          <w:szCs w:val="32"/>
          <w:lang w:val="en-US" w:eastAsia="zh-CN"/>
        </w:rPr>
        <w:t>,加快肉牛肉羊集约化设施养殖建设，</w:t>
      </w:r>
      <w:r>
        <w:rPr>
          <w:rFonts w:hint="eastAsia" w:ascii="仿宋_GB2312" w:hAnsi="仿宋_GB2312" w:eastAsia="仿宋_GB2312" w:cs="仿宋_GB2312"/>
          <w:bCs/>
          <w:sz w:val="32"/>
          <w:szCs w:val="32"/>
        </w:rPr>
        <w:t>发展人工种草，建设规模化专业化优质饲草料基地，配套饲草收割、打捆、青贮等设施设备。</w:t>
      </w:r>
      <w:r>
        <w:rPr>
          <w:rFonts w:hint="eastAsia" w:ascii="仿宋_GB2312" w:hAnsi="仿宋_GB2312" w:eastAsia="仿宋_GB2312" w:cs="仿宋_GB2312"/>
          <w:bCs/>
          <w:sz w:val="32"/>
          <w:szCs w:val="32"/>
          <w:lang w:eastAsia="zh-CN"/>
        </w:rPr>
        <w:t>青饲玉米机械化生产技术规程立项符合产业发展需求、符合产业建设规划，有利于推动饲草生产的机械化发展。</w:t>
      </w:r>
    </w:p>
    <w:p w14:paraId="08551CB1">
      <w:pPr>
        <w:spacing w:line="560" w:lineRule="exact"/>
        <w:ind w:firstLine="643"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
          <w:bCs w:val="0"/>
          <w:sz w:val="32"/>
          <w:szCs w:val="32"/>
          <w:lang w:eastAsia="zh-CN"/>
        </w:rPr>
        <w:t>（二）符合牛羊产业政策要求</w:t>
      </w:r>
    </w:p>
    <w:p w14:paraId="47DC1A2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lang w:eastAsia="zh-CN"/>
        </w:rPr>
        <w:t>牛羊产业是现代农业的重要组成部分。饲草是牛羊产业发展的基础。国务院办公厅《关于促进畜牧业高质量发展的意见》中提出，健全饲草料供应体系，推进饲草料专业化生产，加强饲草料加工、流通、配送体系建设。</w:t>
      </w:r>
      <w:r>
        <w:rPr>
          <w:rFonts w:hint="eastAsia" w:ascii="仿宋_GB2312" w:hAnsi="仿宋_GB2312" w:eastAsia="仿宋_GB2312" w:cs="仿宋_GB2312"/>
          <w:bCs/>
          <w:sz w:val="32"/>
          <w:szCs w:val="32"/>
        </w:rPr>
        <w:t>青饲玉米是牛羊养殖不可缺少的基础饲料之一，种植青饲玉米比利用粮食玉米能增加2-3倍的营养物质。特别是对牛羊等反刍动物来说，玉米饲用转化增值最高的途径就是全株青饲。</w:t>
      </w:r>
      <w:r>
        <w:rPr>
          <w:rFonts w:hint="eastAsia" w:ascii="仿宋_GB2312" w:hAnsi="仿宋_GB2312" w:eastAsia="仿宋_GB2312" w:cs="仿宋_GB2312"/>
          <w:bCs/>
          <w:sz w:val="32"/>
          <w:szCs w:val="32"/>
          <w:lang w:eastAsia="zh-CN"/>
        </w:rPr>
        <w:t>青饲玉米机械化生产符合牛羊产业发展政策，有利推动青贮原料的生产与草产品的加工。</w:t>
      </w:r>
    </w:p>
    <w:p w14:paraId="6ED66D87">
      <w:pPr>
        <w:spacing w:line="560" w:lineRule="exact"/>
        <w:ind w:firstLine="643" w:firstLineChars="200"/>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（三）符合生态农业发展要求</w:t>
      </w:r>
    </w:p>
    <w:p w14:paraId="7DDDAD66">
      <w:pPr>
        <w:spacing w:line="560" w:lineRule="exact"/>
        <w:ind w:firstLine="640" w:firstLineChars="200"/>
        <w:rPr>
          <w:rFonts w:hint="eastAsia" w:ascii="仿宋_GB2312" w:hAnsi="仿宋_GB2312" w:eastAsia="仿宋_GB2312" w:cs="仿宋_GB2312"/>
          <w:bCs/>
          <w:sz w:val="32"/>
          <w:szCs w:val="32"/>
          <w:lang w:eastAsia="zh-CN"/>
        </w:rPr>
      </w:pPr>
      <w:r>
        <w:rPr>
          <w:rFonts w:hint="eastAsia" w:ascii="仿宋_GB2312" w:hAnsi="仿宋_GB2312" w:eastAsia="仿宋_GB2312" w:cs="仿宋_GB2312"/>
          <w:bCs/>
          <w:sz w:val="32"/>
          <w:szCs w:val="32"/>
          <w:lang w:eastAsia="zh-CN"/>
        </w:rPr>
        <w:t>为贯彻落实党中央、国务院决策部署，做好农业农村减排固碳工作，《农业农村减排固碳实施方案》提出，“推动畜牧业绿色低碳发展，以畜禽规模养殖场为重点，推广低蛋白日粮、全株青贮等技术和高产低排放畜禽品种，</w:t>
      </w:r>
      <w:r>
        <w:rPr>
          <w:rFonts w:hint="default" w:ascii="仿宋_GB2312" w:hAnsi="仿宋_GB2312" w:eastAsia="仿宋_GB2312" w:cs="仿宋_GB2312"/>
          <w:bCs/>
          <w:sz w:val="32"/>
          <w:szCs w:val="32"/>
          <w:lang w:eastAsia="zh-CN"/>
        </w:rPr>
        <w:t>……</w:t>
      </w:r>
      <w:r>
        <w:rPr>
          <w:rFonts w:hint="eastAsia" w:ascii="仿宋_GB2312" w:hAnsi="仿宋_GB2312" w:eastAsia="仿宋_GB2312" w:cs="仿宋_GB2312"/>
          <w:bCs/>
          <w:sz w:val="32"/>
          <w:szCs w:val="32"/>
          <w:lang w:eastAsia="zh-CN"/>
        </w:rPr>
        <w:t>”青饲玉米是全株青贮技术的原料，因此，青饲玉米机械化生产技术规程制定有利于提升青饲玉米精准管理和产量，减少化肥和农药的使用，有利于畜牧生产的降碳减排。</w:t>
      </w:r>
    </w:p>
    <w:p w14:paraId="56466FBD">
      <w:pPr>
        <w:spacing w:line="560" w:lineRule="exact"/>
        <w:ind w:firstLine="643" w:firstLineChars="200"/>
        <w:rPr>
          <w:rFonts w:hint="eastAsia" w:ascii="仿宋_GB2312" w:hAnsi="仿宋_GB2312" w:eastAsia="仿宋_GB2312" w:cs="仿宋_GB2312"/>
          <w:b/>
          <w:bCs w:val="0"/>
          <w:sz w:val="32"/>
          <w:szCs w:val="32"/>
          <w:lang w:eastAsia="zh-CN"/>
        </w:rPr>
      </w:pPr>
      <w:r>
        <w:rPr>
          <w:rFonts w:hint="eastAsia" w:ascii="仿宋_GB2312" w:hAnsi="仿宋_GB2312" w:eastAsia="仿宋_GB2312" w:cs="仿宋_GB2312"/>
          <w:b/>
          <w:bCs w:val="0"/>
          <w:sz w:val="32"/>
          <w:szCs w:val="32"/>
          <w:lang w:eastAsia="zh-CN"/>
        </w:rPr>
        <w:t>（四）符合我省农业产业发展需求</w:t>
      </w:r>
    </w:p>
    <w:p w14:paraId="245399A1">
      <w:pPr>
        <w:spacing w:line="560" w:lineRule="exact"/>
        <w:ind w:firstLine="640" w:firstLineChars="200"/>
        <w:rPr>
          <w:rFonts w:hint="eastAsia" w:ascii="仿宋_GB2312" w:hAnsi="仿宋_GB2312" w:eastAsia="仿宋_GB2312" w:cs="仿宋_GB2312"/>
          <w:bCs/>
          <w:sz w:val="32"/>
          <w:szCs w:val="32"/>
        </w:rPr>
      </w:pPr>
      <w:r>
        <w:rPr>
          <w:rFonts w:hint="eastAsia" w:ascii="仿宋_GB2312" w:hAnsi="仿宋_GB2312" w:eastAsia="仿宋_GB2312" w:cs="仿宋_GB2312"/>
          <w:bCs/>
          <w:sz w:val="32"/>
          <w:szCs w:val="32"/>
        </w:rPr>
        <w:t>江西是农业大省，加快发展草食畜牧业是建设现代农业强省的重要举措，2018年江西省人民政府《关于加快农业结构调整行动计划》提出大力实施“草地畜牧业发展工程”，现代草地畜牧业列为重点发展产业，并将成为我省农业的支柱产业之一。</w:t>
      </w:r>
      <w:r>
        <w:rPr>
          <w:rFonts w:hint="eastAsia" w:ascii="仿宋_GB2312" w:hAnsi="仿宋_GB2312" w:eastAsia="仿宋_GB2312" w:cs="仿宋_GB2312"/>
          <w:bCs/>
          <w:sz w:val="32"/>
          <w:szCs w:val="32"/>
          <w:lang w:eastAsia="zh-CN"/>
        </w:rPr>
        <w:t>随着草食畜和饲草规模化发展，青饲玉米种植呈大面积规模化发展趋势。仅依靠传统人工种植与收割，不仅生产成本大幅度提升，且因不能及时抓好农时、收储，严重影响种植进度、饲草品质和产量。因此，机械化生产方式成为青饲玉米种植模式发展趋势。</w:t>
      </w:r>
    </w:p>
    <w:p w14:paraId="2083AADE">
      <w:pPr>
        <w:spacing w:line="560" w:lineRule="exact"/>
        <w:ind w:left="640" w:firstLine="160" w:firstLineChars="50"/>
        <w:rPr>
          <w:rFonts w:ascii="黑体" w:hAnsi="黑体" w:eastAsia="黑体"/>
          <w:sz w:val="32"/>
          <w:szCs w:val="32"/>
        </w:rPr>
      </w:pPr>
      <w:r>
        <w:rPr>
          <w:rFonts w:hint="eastAsia" w:ascii="黑体" w:hAnsi="黑体" w:eastAsia="黑体"/>
          <w:sz w:val="32"/>
          <w:szCs w:val="32"/>
        </w:rPr>
        <w:t>三、主要起草过程</w:t>
      </w:r>
    </w:p>
    <w:p w14:paraId="5309014A">
      <w:pPr>
        <w:spacing w:line="560" w:lineRule="exact"/>
        <w:ind w:firstLine="627" w:firstLineChars="196"/>
        <w:rPr>
          <w:rFonts w:ascii="仿宋_GB2312" w:hAnsi="仿宋" w:eastAsia="仿宋_GB2312"/>
          <w:sz w:val="32"/>
          <w:szCs w:val="32"/>
        </w:rPr>
      </w:pPr>
      <w:r>
        <w:rPr>
          <w:rFonts w:hint="eastAsia" w:ascii="仿宋_GB2312" w:hAnsi="仿宋_GB2312" w:eastAsia="仿宋_GB2312" w:cs="仿宋_GB2312"/>
          <w:sz w:val="32"/>
          <w:szCs w:val="32"/>
        </w:rPr>
        <w:t>为适应当前草地畜牧业产业发展建设和推进农业标准化生产的需要</w:t>
      </w:r>
      <w:r>
        <w:rPr>
          <w:rFonts w:hint="eastAsia" w:ascii="仿宋_GB2312" w:hAnsi="仿宋_GB2312" w:eastAsia="仿宋_GB2312" w:cs="仿宋_GB2312"/>
          <w:sz w:val="32"/>
          <w:szCs w:val="32"/>
          <w:lang w:eastAsia="zh-CN"/>
        </w:rPr>
        <w:t>，本技术依托江西肉牛肉羊大县项目、国家肉牛肉羊增强提质项目、江西省牛羊产业技术体系项目以及江西省草地畜牧业重大技术协同推广项目等，已开展</w:t>
      </w:r>
      <w:r>
        <w:rPr>
          <w:rFonts w:hint="eastAsia" w:ascii="仿宋_GB2312" w:hAnsi="仿宋_GB2312" w:eastAsia="仿宋_GB2312" w:cs="仿宋_GB2312"/>
          <w:sz w:val="32"/>
          <w:szCs w:val="32"/>
          <w:lang w:val="en-US" w:eastAsia="zh-CN"/>
        </w:rPr>
        <w:t>5余年的研究与示范，先后对青饲玉米机械化高密度种植、无人机病虫害防控效率、肥料梯度等进行深入研究、总结与示范。本技术先后在高安、上高、乐平、浮梁、崇仁、乐安、鄱阳等7个县市</w:t>
      </w:r>
      <w:r>
        <w:rPr>
          <w:rFonts w:hint="eastAsia" w:ascii="仿宋_GB2312" w:hAnsi="仿宋_GB2312" w:eastAsia="仿宋_GB2312" w:cs="仿宋_GB2312"/>
          <w:sz w:val="32"/>
          <w:szCs w:val="32"/>
          <w:lang w:eastAsia="zh-CN"/>
        </w:rPr>
        <w:t>彭泽桃花源、浮梁浩然、樟树春晖、乐平森泰、崇仁芗峰、鄱阳大富、上高明好等</w:t>
      </w:r>
      <w:r>
        <w:rPr>
          <w:rFonts w:hint="eastAsia" w:ascii="仿宋_GB2312" w:hAnsi="仿宋_GB2312" w:eastAsia="仿宋_GB2312" w:cs="仿宋_GB2312"/>
          <w:sz w:val="32"/>
          <w:szCs w:val="32"/>
          <w:lang w:val="en-US" w:eastAsia="zh-CN"/>
        </w:rPr>
        <w:t>10余家养殖企业推广应用，取得了较好的运用效果</w:t>
      </w:r>
      <w:r>
        <w:rPr>
          <w:rFonts w:hint="eastAsia" w:ascii="仿宋_GB2312" w:hAnsi="仿宋_GB2312" w:eastAsia="仿宋_GB2312" w:cs="仿宋_GB2312"/>
          <w:sz w:val="32"/>
          <w:szCs w:val="32"/>
        </w:rPr>
        <w:t>，起草完成《</w:t>
      </w:r>
      <w:r>
        <w:rPr>
          <w:rFonts w:hint="eastAsia" w:ascii="仿宋_GB2312" w:hAnsi="仿宋_GB2312" w:eastAsia="仿宋_GB2312" w:cs="仿宋_GB2312"/>
          <w:sz w:val="32"/>
          <w:szCs w:val="32"/>
          <w:lang w:eastAsia="zh-CN"/>
        </w:rPr>
        <w:t>青饲玉米机械化生产技术规程</w:t>
      </w:r>
      <w:r>
        <w:rPr>
          <w:rFonts w:hint="eastAsia" w:ascii="仿宋_GB2312" w:hAnsi="仿宋_GB2312" w:eastAsia="仿宋_GB2312" w:cs="仿宋_GB2312"/>
          <w:sz w:val="32"/>
          <w:szCs w:val="32"/>
        </w:rPr>
        <w:t>（工作组讨论稿）》</w:t>
      </w:r>
      <w:r>
        <w:rPr>
          <w:rFonts w:hint="eastAsia" w:ascii="仿宋_GB2312" w:hAnsi="仿宋_GB2312" w:eastAsia="仿宋_GB2312" w:cs="仿宋_GB2312"/>
          <w:sz w:val="32"/>
          <w:szCs w:val="32"/>
          <w:lang w:eastAsia="zh-CN"/>
        </w:rPr>
        <w:t>，</w:t>
      </w:r>
      <w:r>
        <w:rPr>
          <w:rFonts w:ascii="仿宋_GB2312" w:hAnsi="仿宋_GB2312" w:eastAsia="仿宋_GB2312" w:cs="仿宋_GB2312"/>
          <w:sz w:val="32"/>
          <w:szCs w:val="32"/>
        </w:rPr>
        <w:t>202</w:t>
      </w:r>
      <w:r>
        <w:rPr>
          <w:rFonts w:hint="eastAsia" w:ascii="仿宋_GB2312" w:hAnsi="仿宋_GB2312" w:eastAsia="仿宋_GB2312" w:cs="仿宋_GB2312"/>
          <w:sz w:val="32"/>
          <w:szCs w:val="32"/>
          <w:lang w:val="en-US" w:eastAsia="zh-CN"/>
        </w:rPr>
        <w:t>4</w:t>
      </w:r>
      <w:r>
        <w:rPr>
          <w:rFonts w:hint="eastAsia" w:ascii="仿宋_GB2312" w:hAnsi="仿宋_GB2312" w:eastAsia="仿宋_GB2312" w:cs="仿宋_GB2312"/>
          <w:sz w:val="32"/>
          <w:szCs w:val="32"/>
        </w:rPr>
        <w:t>年</w:t>
      </w:r>
      <w:r>
        <w:rPr>
          <w:rFonts w:ascii="仿宋_GB2312" w:hAnsi="仿宋_GB2312" w:eastAsia="仿宋_GB2312" w:cs="仿宋_GB2312"/>
          <w:sz w:val="32"/>
          <w:szCs w:val="32"/>
        </w:rPr>
        <w:t>9</w:t>
      </w:r>
      <w:r>
        <w:rPr>
          <w:rFonts w:hint="eastAsia" w:ascii="仿宋_GB2312" w:hAnsi="仿宋_GB2312" w:eastAsia="仿宋_GB2312" w:cs="仿宋_GB2312"/>
          <w:sz w:val="32"/>
          <w:szCs w:val="32"/>
        </w:rPr>
        <w:t>月提出“地方标准项目建议书”报送省农业农村厅，并经江西省市场监管局的立项评审，获得立项批准（编号</w:t>
      </w:r>
      <w:r>
        <w:rPr>
          <w:rFonts w:hint="eastAsia" w:ascii="仿宋_GB2312" w:hAnsi="仿宋_GB2312" w:eastAsia="仿宋_GB2312" w:cs="仿宋_GB2312"/>
          <w:bCs/>
          <w:sz w:val="32"/>
          <w:szCs w:val="32"/>
        </w:rPr>
        <w:t>DB36-202</w:t>
      </w:r>
      <w:r>
        <w:rPr>
          <w:rFonts w:hint="eastAsia" w:ascii="仿宋_GB2312" w:hAnsi="仿宋_GB2312" w:eastAsia="仿宋_GB2312" w:cs="仿宋_GB2312"/>
          <w:bCs/>
          <w:sz w:val="32"/>
          <w:szCs w:val="32"/>
          <w:lang w:val="en-US" w:eastAsia="zh-CN"/>
        </w:rPr>
        <w:t>5</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1</w:t>
      </w:r>
      <w:r>
        <w:rPr>
          <w:rFonts w:hint="eastAsia" w:ascii="仿宋_GB2312" w:hAnsi="仿宋_GB2312" w:eastAsia="仿宋_GB2312" w:cs="仿宋_GB2312"/>
          <w:bCs/>
          <w:sz w:val="32"/>
          <w:szCs w:val="32"/>
        </w:rPr>
        <w:t>-</w:t>
      </w:r>
      <w:r>
        <w:rPr>
          <w:rFonts w:hint="eastAsia" w:ascii="仿宋_GB2312" w:hAnsi="仿宋_GB2312" w:eastAsia="仿宋_GB2312" w:cs="仿宋_GB2312"/>
          <w:bCs/>
          <w:sz w:val="32"/>
          <w:szCs w:val="32"/>
          <w:lang w:val="en-US" w:eastAsia="zh-CN"/>
        </w:rPr>
        <w:t>08</w:t>
      </w:r>
      <w:r>
        <w:rPr>
          <w:rFonts w:hint="eastAsia" w:ascii="仿宋_GB2312" w:hAnsi="仿宋_GB2312" w:eastAsia="仿宋_GB2312" w:cs="仿宋_GB2312"/>
          <w:sz w:val="32"/>
          <w:szCs w:val="32"/>
        </w:rPr>
        <w:t>）。获得立项后，编制人员对《</w:t>
      </w:r>
      <w:r>
        <w:rPr>
          <w:rFonts w:hint="eastAsia" w:ascii="仿宋_GB2312" w:hAnsi="仿宋_GB2312" w:eastAsia="仿宋_GB2312" w:cs="仿宋_GB2312"/>
          <w:sz w:val="32"/>
          <w:szCs w:val="32"/>
          <w:lang w:eastAsia="zh-CN"/>
        </w:rPr>
        <w:t>青饲玉米机械化生产技术规程</w:t>
      </w:r>
      <w:r>
        <w:rPr>
          <w:rFonts w:hint="eastAsia" w:ascii="仿宋_GB2312" w:hAnsi="仿宋_GB2312" w:eastAsia="仿宋_GB2312" w:cs="仿宋_GB2312"/>
          <w:sz w:val="32"/>
          <w:szCs w:val="32"/>
        </w:rPr>
        <w:t>（工作组讨论稿）》进行了多次讨论修改，通过征询省肉牛肉羊行业人员及相关企业技术人员等意见，并按意见建议进行了完善修改</w:t>
      </w:r>
      <w:r>
        <w:rPr>
          <w:rFonts w:hint="eastAsia" w:ascii="仿宋_GB2312" w:hAnsi="仿宋_GB2312" w:eastAsia="仿宋_GB2312" w:cs="仿宋_GB2312"/>
          <w:sz w:val="32"/>
          <w:szCs w:val="32"/>
          <w:lang w:eastAsia="zh-CN"/>
        </w:rPr>
        <w:t>，最终形成了</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青饲玉米机械化生产技术规程</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征求意见</w:t>
      </w:r>
      <w:r>
        <w:rPr>
          <w:rFonts w:hint="eastAsia" w:ascii="仿宋_GB2312" w:hAnsi="仿宋_GB2312" w:eastAsia="仿宋_GB2312" w:cs="仿宋_GB2312"/>
          <w:sz w:val="32"/>
          <w:szCs w:val="32"/>
        </w:rPr>
        <w:t>稿）》。</w:t>
      </w:r>
    </w:p>
    <w:p w14:paraId="486A0109">
      <w:pPr>
        <w:spacing w:line="560" w:lineRule="exact"/>
        <w:jc w:val="left"/>
        <w:rPr>
          <w:rFonts w:ascii="黑体" w:hAnsi="黑体" w:eastAsia="黑体"/>
          <w:sz w:val="32"/>
          <w:szCs w:val="32"/>
        </w:rPr>
      </w:pPr>
      <w:r>
        <w:rPr>
          <w:rFonts w:hint="eastAsia" w:ascii="黑体" w:hAnsi="黑体" w:eastAsia="黑体"/>
          <w:sz w:val="32"/>
          <w:szCs w:val="32"/>
          <w:lang w:val="en-US" w:eastAsia="zh-CN"/>
        </w:rPr>
        <w:t xml:space="preserve">    </w:t>
      </w:r>
      <w:r>
        <w:rPr>
          <w:rFonts w:hint="eastAsia" w:ascii="黑体" w:hAnsi="黑体" w:eastAsia="黑体"/>
          <w:sz w:val="32"/>
          <w:szCs w:val="32"/>
        </w:rPr>
        <w:t>四、制定（修订）标准的原则和依据，与现行法律、法规、标准的关系</w:t>
      </w:r>
    </w:p>
    <w:p w14:paraId="1C15C3C8">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（一）</w:t>
      </w:r>
      <w:r>
        <w:rPr>
          <w:rFonts w:hint="eastAsia" w:ascii="楷体_GB2312" w:eastAsia="楷体_GB2312"/>
          <w:b/>
          <w:bCs/>
          <w:color w:val="000000"/>
          <w:sz w:val="32"/>
          <w:szCs w:val="32"/>
        </w:rPr>
        <w:t>标准编制</w:t>
      </w:r>
      <w:r>
        <w:rPr>
          <w:rFonts w:hint="eastAsia" w:ascii="楷体_GB2312" w:hAnsi="楷体_GB2312" w:eastAsia="楷体_GB2312" w:cs="楷体_GB2312"/>
          <w:b/>
          <w:bCs/>
          <w:sz w:val="32"/>
          <w:szCs w:val="32"/>
        </w:rPr>
        <w:t>原则</w:t>
      </w:r>
    </w:p>
    <w:p w14:paraId="559226B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遵守国家法律和行政法规的规定；</w:t>
      </w:r>
    </w:p>
    <w:p w14:paraId="3B93432C">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符合</w:t>
      </w:r>
      <w:r>
        <w:rPr>
          <w:rFonts w:ascii="仿宋_GB2312" w:hAnsi="仿宋_GB2312" w:eastAsia="仿宋_GB2312" w:cs="仿宋_GB2312"/>
          <w:sz w:val="32"/>
          <w:szCs w:val="32"/>
        </w:rPr>
        <w:t>GB/T1.1-2020</w:t>
      </w:r>
      <w:r>
        <w:rPr>
          <w:rFonts w:hint="eastAsia" w:ascii="仿宋_GB2312" w:hAnsi="仿宋_GB2312" w:eastAsia="仿宋_GB2312" w:cs="仿宋_GB2312"/>
          <w:sz w:val="32"/>
          <w:szCs w:val="32"/>
        </w:rPr>
        <w:t>《标准化工作导则</w:t>
      </w: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第</w:t>
      </w:r>
      <w:r>
        <w:rPr>
          <w:rFonts w:ascii="仿宋_GB2312" w:hAnsi="仿宋_GB2312" w:eastAsia="仿宋_GB2312" w:cs="仿宋_GB2312"/>
          <w:sz w:val="32"/>
          <w:szCs w:val="32"/>
        </w:rPr>
        <w:t>1</w:t>
      </w:r>
      <w:r>
        <w:rPr>
          <w:rFonts w:hint="eastAsia" w:ascii="仿宋_GB2312" w:hAnsi="仿宋_GB2312" w:eastAsia="仿宋_GB2312" w:cs="仿宋_GB2312"/>
          <w:sz w:val="32"/>
          <w:szCs w:val="32"/>
        </w:rPr>
        <w:t>部分</w:t>
      </w:r>
      <w:r>
        <w:rPr>
          <w:rFonts w:ascii="仿宋_GB2312" w:hAnsi="仿宋_GB2312" w:eastAsia="仿宋_GB2312" w:cs="仿宋_GB2312"/>
          <w:sz w:val="32"/>
          <w:szCs w:val="32"/>
        </w:rPr>
        <w:t>:</w:t>
      </w:r>
      <w:r>
        <w:rPr>
          <w:rFonts w:hint="eastAsia" w:ascii="仿宋_GB2312" w:hAnsi="仿宋_GB2312" w:eastAsia="仿宋_GB2312" w:cs="仿宋_GB2312"/>
          <w:sz w:val="32"/>
          <w:szCs w:val="32"/>
        </w:rPr>
        <w:t>标准的结构和编写规则》的规定；</w:t>
      </w:r>
    </w:p>
    <w:p w14:paraId="66251A9B">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符合国家标准要求的表达方式，适应行业内的表达方式。</w:t>
      </w:r>
    </w:p>
    <w:p w14:paraId="57B1BC43">
      <w:pPr>
        <w:spacing w:line="560" w:lineRule="exact"/>
        <w:ind w:firstLine="643" w:firstLineChars="200"/>
        <w:rPr>
          <w:rFonts w:ascii="仿宋_GB2312" w:hAnsi="仿宋_GB2312" w:eastAsia="仿宋_GB2312" w:cs="仿宋_GB2312"/>
          <w:sz w:val="32"/>
          <w:szCs w:val="32"/>
        </w:rPr>
      </w:pPr>
      <w:r>
        <w:rPr>
          <w:rFonts w:hint="eastAsia" w:ascii="仿宋_GB2312" w:hAnsi="仿宋_GB2312" w:eastAsia="仿宋_GB2312" w:cs="仿宋_GB2312"/>
          <w:b/>
          <w:bCs/>
          <w:sz w:val="32"/>
          <w:szCs w:val="32"/>
        </w:rPr>
        <w:t>（二）制定标准主要内容依据</w:t>
      </w:r>
    </w:p>
    <w:p w14:paraId="3F4EDBCD">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《中华人民共和国标准化法》；</w:t>
      </w:r>
    </w:p>
    <w:p w14:paraId="532F2E7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《国家标准管理办法》（国家技术监督局令第</w:t>
      </w:r>
      <w:r>
        <w:rPr>
          <w:rFonts w:ascii="仿宋_GB2312" w:hAnsi="仿宋_GB2312" w:eastAsia="仿宋_GB2312" w:cs="仿宋_GB2312"/>
          <w:sz w:val="32"/>
          <w:szCs w:val="32"/>
        </w:rPr>
        <w:t>10</w:t>
      </w:r>
      <w:r>
        <w:rPr>
          <w:rFonts w:hint="eastAsia" w:ascii="仿宋_GB2312" w:hAnsi="仿宋_GB2312" w:eastAsia="仿宋_GB2312" w:cs="仿宋_GB2312"/>
          <w:sz w:val="32"/>
          <w:szCs w:val="32"/>
        </w:rPr>
        <w:t>号）；</w:t>
      </w:r>
    </w:p>
    <w:p w14:paraId="16382F5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《江西省地方标准管理办法》。</w:t>
      </w:r>
    </w:p>
    <w:p w14:paraId="5A6F4C5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GB/T 8321  农药合理使用准则</w:t>
      </w:r>
    </w:p>
    <w:p w14:paraId="5F2672F8">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 1276  农药安全使用规范  总则</w:t>
      </w:r>
    </w:p>
    <w:p w14:paraId="27827C2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 2609-2014  拖拉机  安全操作规程</w:t>
      </w:r>
    </w:p>
    <w:p w14:paraId="6F933BB3">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 3880-2021  深松播种机   质量评价技术规范</w:t>
      </w:r>
    </w:p>
    <w:p w14:paraId="05B697DF">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 503-2015 单粒（精密）播种机  作业质量</w:t>
      </w:r>
    </w:p>
    <w:p w14:paraId="382C227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 3213-2018  植保无人飞机质量技术评价规范</w:t>
      </w:r>
    </w:p>
    <w:p w14:paraId="26BB44B0">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NY/T2088-2011  玉米青贮收获机 作业质量</w:t>
      </w:r>
    </w:p>
    <w:p w14:paraId="5C1000FB">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DB36/T 995 -2017农业植保无人机安全作业操作规范</w:t>
      </w:r>
    </w:p>
    <w:p w14:paraId="1133657A">
      <w:pPr>
        <w:spacing w:line="560" w:lineRule="exact"/>
        <w:ind w:firstLine="640" w:firstLineChars="200"/>
        <w:rPr>
          <w:rFonts w:hint="eastAsia" w:ascii="仿宋_GB2312" w:hAnsi="仿宋_GB2312" w:eastAsia="仿宋_GB2312" w:cs="仿宋_GB2312"/>
          <w:sz w:val="32"/>
          <w:szCs w:val="32"/>
          <w:lang w:val="en-US" w:eastAsia="zh-CN"/>
        </w:rPr>
      </w:pPr>
      <w:r>
        <w:rPr>
          <w:rFonts w:hint="eastAsia" w:ascii="仿宋_GB2312" w:hAnsi="仿宋_GB2312" w:eastAsia="仿宋_GB2312" w:cs="仿宋_GB2312"/>
          <w:sz w:val="32"/>
          <w:szCs w:val="32"/>
          <w:lang w:val="en-US" w:eastAsia="zh-CN"/>
        </w:rPr>
        <w:t xml:space="preserve"> DB36/T1650-2022 青饲玉米栽培利用技术规程</w:t>
      </w:r>
    </w:p>
    <w:p w14:paraId="3FA520ED">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val="en-US" w:eastAsia="zh-CN"/>
        </w:rPr>
        <w:t xml:space="preserve"> T/CCPIA 019 植保无人飞机安全施用农药作业规范</w:t>
      </w:r>
    </w:p>
    <w:p w14:paraId="7D8331F0">
      <w:pPr>
        <w:spacing w:line="560" w:lineRule="exact"/>
        <w:ind w:firstLine="643" w:firstLineChars="200"/>
        <w:rPr>
          <w:rFonts w:ascii="楷体_GB2312" w:hAnsi="楷体_GB2312" w:eastAsia="楷体_GB2312" w:cs="楷体_GB2312"/>
          <w:b/>
          <w:bCs/>
          <w:sz w:val="32"/>
          <w:szCs w:val="32"/>
        </w:rPr>
      </w:pPr>
      <w:r>
        <w:rPr>
          <w:rFonts w:hint="eastAsia" w:ascii="楷体_GB2312" w:hAnsi="楷体_GB2312" w:eastAsia="楷体_GB2312" w:cs="楷体_GB2312"/>
          <w:b/>
          <w:bCs/>
          <w:sz w:val="32"/>
          <w:szCs w:val="32"/>
        </w:rPr>
        <w:t>（三）与现行法律、法规、标准的关系</w:t>
      </w:r>
    </w:p>
    <w:p w14:paraId="76D0D8C3">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经广泛调研和多方面征求意见建议，本标准有关技术要求、技术方法、性能指标等符合现行法律、法规、规章及有关强制性标准要求并具有一致性。</w:t>
      </w:r>
    </w:p>
    <w:p w14:paraId="19DEDF62">
      <w:pPr>
        <w:spacing w:line="560" w:lineRule="exact"/>
        <w:jc w:val="left"/>
        <w:rPr>
          <w:rFonts w:hint="eastAsia" w:ascii="黑体" w:hAnsi="黑体" w:eastAsia="黑体"/>
          <w:sz w:val="32"/>
          <w:szCs w:val="32"/>
        </w:rPr>
      </w:pPr>
      <w:r>
        <w:rPr>
          <w:rFonts w:hint="eastAsia" w:ascii="黑体" w:hAnsi="黑体" w:eastAsia="黑体"/>
          <w:sz w:val="32"/>
          <w:szCs w:val="32"/>
          <w:lang w:val="en-US" w:eastAsia="zh-CN"/>
        </w:rPr>
        <w:t xml:space="preserve">    五、</w:t>
      </w:r>
      <w:r>
        <w:rPr>
          <w:rFonts w:hint="eastAsia" w:ascii="黑体" w:hAnsi="黑体" w:eastAsia="黑体"/>
          <w:sz w:val="32"/>
          <w:szCs w:val="32"/>
        </w:rPr>
        <w:t>主要条款的说明</w:t>
      </w:r>
    </w:p>
    <w:p w14:paraId="3CB8808A">
      <w:pPr>
        <w:spacing w:line="560" w:lineRule="exact"/>
        <w:ind w:firstLine="640" w:firstLineChars="200"/>
        <w:rPr>
          <w:rFonts w:hint="eastAsia" w:eastAsia="仿宋_GB2312"/>
          <w:color w:val="000000"/>
          <w:sz w:val="32"/>
          <w:szCs w:val="32"/>
        </w:rPr>
      </w:pPr>
      <w:r>
        <w:rPr>
          <w:rFonts w:hint="eastAsia" w:eastAsia="仿宋_GB2312"/>
          <w:color w:val="000000"/>
          <w:sz w:val="32"/>
          <w:szCs w:val="32"/>
        </w:rPr>
        <w:t>主要条款的说明如下：</w:t>
      </w:r>
    </w:p>
    <w:p w14:paraId="62BAE796">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rPr>
        <w:t>1、</w:t>
      </w:r>
      <w:r>
        <w:rPr>
          <w:rFonts w:hint="eastAsia" w:eastAsia="仿宋_GB2312"/>
          <w:color w:val="000000"/>
          <w:sz w:val="32"/>
          <w:szCs w:val="32"/>
          <w:lang w:val="en-US" w:eastAsia="zh-CN"/>
        </w:rPr>
        <w:t>青饲玉米forage maize。以乳熟期至蜡熟期整株收割利用，专门栽培用作青饲或者青贮的一类玉米。</w:t>
      </w:r>
    </w:p>
    <w:p w14:paraId="2A1FCABB">
      <w:pPr>
        <w:spacing w:line="560" w:lineRule="exact"/>
        <w:ind w:firstLine="640" w:firstLineChars="200"/>
        <w:rPr>
          <w:rFonts w:hint="eastAsia" w:eastAsia="仿宋_GB2312"/>
          <w:color w:val="000000"/>
          <w:sz w:val="32"/>
          <w:szCs w:val="32"/>
        </w:rPr>
      </w:pPr>
      <w:r>
        <w:rPr>
          <w:rFonts w:hint="eastAsia" w:eastAsia="仿宋_GB2312"/>
          <w:color w:val="000000"/>
          <w:sz w:val="32"/>
          <w:szCs w:val="32"/>
        </w:rPr>
        <w:t>说明：</w:t>
      </w:r>
      <w:r>
        <w:rPr>
          <w:rFonts w:hint="eastAsia" w:eastAsia="仿宋_GB2312"/>
          <w:color w:val="000000"/>
          <w:sz w:val="32"/>
          <w:szCs w:val="32"/>
          <w:lang w:val="en-US" w:eastAsia="zh-CN"/>
        </w:rPr>
        <w:t>根据饲草利用方式对青饲玉米进行定义，不仅限于饲草加工利用方式的定义。</w:t>
      </w:r>
    </w:p>
    <w:p w14:paraId="6171E2F6">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 xml:space="preserve">2、玉米青贮收获机  corn silage harvesting machine   </w:t>
      </w:r>
    </w:p>
    <w:p w14:paraId="59BDCA6A">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用来收获全株玉米或者玉米秸秆，把作物切成碎段并把碎物送到物料箱或者单独的挂车内的农业机械。</w:t>
      </w:r>
    </w:p>
    <w:p w14:paraId="5A8CD96C">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说明：从收割方式、粉碎状态对玉米青贮收获机功能进行定义，区别于仅收获籽实的玉米收获机械。</w:t>
      </w:r>
    </w:p>
    <w:p w14:paraId="57AFDF17">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3、玉米播种机</w:t>
      </w:r>
    </w:p>
    <w:p w14:paraId="295E97C1">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以作物玉米种子为播种对象的种植机械，选择具有开沟、播种、施肥、覆土等联合作业功能，且结构简单、容易操作和掌握，与动力功率（拖拉机）相匹配。</w:t>
      </w:r>
    </w:p>
    <w:p w14:paraId="3BDA1544">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说明：目前，市场上玉米播种机联合作业功能多种多样，但有些功能是不利于江西土壤，如镇压。因此，根据江西土壤易板结的情况，提出了玉米播种机需要的功能。</w:t>
      </w:r>
    </w:p>
    <w:p w14:paraId="59BF7314">
      <w:pPr>
        <w:spacing w:line="560" w:lineRule="exact"/>
        <w:ind w:firstLine="640" w:firstLineChars="200"/>
        <w:rPr>
          <w:rFonts w:hint="eastAsia" w:eastAsia="仿宋_GB2312"/>
          <w:color w:val="000000"/>
          <w:sz w:val="32"/>
          <w:szCs w:val="32"/>
          <w:lang w:val="en-US" w:eastAsia="zh-CN"/>
        </w:rPr>
      </w:pPr>
      <w:bookmarkStart w:id="4" w:name="_Toc30224"/>
      <w:r>
        <w:rPr>
          <w:rFonts w:hint="eastAsia" w:eastAsia="仿宋_GB2312"/>
          <w:color w:val="000000"/>
          <w:sz w:val="32"/>
          <w:szCs w:val="32"/>
          <w:lang w:val="en-US" w:eastAsia="zh-CN"/>
        </w:rPr>
        <w:t>4、</w:t>
      </w:r>
      <w:bookmarkEnd w:id="4"/>
      <w:r>
        <w:rPr>
          <w:rFonts w:hint="eastAsia" w:eastAsia="仿宋_GB2312"/>
          <w:color w:val="000000"/>
          <w:sz w:val="32"/>
          <w:szCs w:val="32"/>
          <w:lang w:val="en-US" w:eastAsia="zh-CN"/>
        </w:rPr>
        <w:t>玉米青贮收获机选择</w:t>
      </w:r>
    </w:p>
    <w:p w14:paraId="2A5D245C">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 xml:space="preserve"> 应根据种植地块，选择具有切碎或揉搓功能、收获效率高、割台作业幅度适宜，与动力功率（拖拉机）相匹配的玉米青贮收获机。一般要求，割台割幅宽度宜在150-200㎝的小型机械。</w:t>
      </w:r>
    </w:p>
    <w:p w14:paraId="686AC9D8">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说明：由于江西地块较小，大型机械使用不方便，根据调研结果，提出了适宜的小型机械。</w:t>
      </w:r>
    </w:p>
    <w:p w14:paraId="468F8915">
      <w:pPr>
        <w:spacing w:line="560" w:lineRule="exact"/>
        <w:ind w:firstLine="640" w:firstLineChars="200"/>
        <w:rPr>
          <w:rFonts w:hint="eastAsia" w:eastAsia="仿宋_GB2312"/>
          <w:color w:val="000000"/>
          <w:sz w:val="32"/>
          <w:szCs w:val="32"/>
          <w:lang w:val="en-US" w:eastAsia="zh-CN"/>
        </w:rPr>
      </w:pPr>
      <w:bookmarkStart w:id="5" w:name="_Toc16442"/>
      <w:r>
        <w:rPr>
          <w:rFonts w:hint="eastAsia" w:eastAsia="仿宋_GB2312"/>
          <w:color w:val="000000"/>
          <w:sz w:val="32"/>
          <w:szCs w:val="32"/>
          <w:lang w:val="en-US" w:eastAsia="zh-CN"/>
        </w:rPr>
        <w:t>5、</w:t>
      </w:r>
      <w:bookmarkEnd w:id="5"/>
      <w:r>
        <w:rPr>
          <w:rFonts w:hint="eastAsia" w:eastAsia="仿宋_GB2312"/>
          <w:color w:val="000000"/>
          <w:sz w:val="32"/>
          <w:szCs w:val="32"/>
          <w:lang w:val="en-US" w:eastAsia="zh-CN"/>
        </w:rPr>
        <w:t>品种选择及种子质量</w:t>
      </w:r>
    </w:p>
    <w:p w14:paraId="02968D36">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选择通过国家级或省级审定，生育期较长、植株高大、耐密植、抗病虫抗倒性强、生物产量高的优质的青饲（青贮）玉米品种。</w:t>
      </w:r>
    </w:p>
    <w:p w14:paraId="691F74ED">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说明：青饲玉米主要产品是饲草或者青贮产品，对于品种选择首先产量性状，生育期较长、植株高大、耐密植、生物产量高都是产量高的形状表现。其次抗病虫抗倒性状，有利于降低种植管理成本。</w:t>
      </w:r>
    </w:p>
    <w:p w14:paraId="00B793BC">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6、播期。3月中旬～8月上旬，或前茬作物收获后及时播种，且土壤温度稳定在10度以上。江西北部地区播种时间宜在4月中旬以后，赣中南地区3月份以后。</w:t>
      </w:r>
    </w:p>
    <w:p w14:paraId="2D64FB3C">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说明：青饲玉米生长受气温影响较大，根据江西南北气温差异提出了2种播种时间。</w:t>
      </w:r>
    </w:p>
    <w:p w14:paraId="142F35AE">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7、播种规格。穴播：行距50-60㎝、株距20㎝，深度2-5㎝，每穴1粒，5500-6300株/亩。</w:t>
      </w:r>
    </w:p>
    <w:p w14:paraId="5102AF80">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说明：青饲玉米在江西生育期大概70-90天左右，生长的株高不如北方，可以采取适当高密度种植，便于提高饲草产量。</w:t>
      </w:r>
    </w:p>
    <w:p w14:paraId="13E9A566">
      <w:pPr>
        <w:numPr>
          <w:ilvl w:val="0"/>
          <w:numId w:val="1"/>
        </w:num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除草和病虫害防治。播后出苗前，均匀喷洒封闭性除草剂预防杂草；在玉米3-5叶期，如有杂草侵害严重，均匀喷洒苗后除草剂除草。病虫害防治以预防为主，综合防控，优先采用生物防治、物理防治，科学合理的进行化学防治。农药使用应符合NY/T 1276和GB/T 8321 的规定。</w:t>
      </w:r>
    </w:p>
    <w:p w14:paraId="603D085F">
      <w:pPr>
        <w:numPr>
          <w:ilvl w:val="0"/>
          <w:numId w:val="0"/>
        </w:numPr>
        <w:spacing w:line="560" w:lineRule="exact"/>
        <w:rPr>
          <w:rFonts w:hint="eastAsia" w:eastAsia="仿宋_GB2312"/>
          <w:color w:val="000000"/>
          <w:sz w:val="32"/>
          <w:szCs w:val="32"/>
          <w:lang w:val="en-US" w:eastAsia="zh-CN"/>
        </w:rPr>
      </w:pPr>
      <w:r>
        <w:rPr>
          <w:rFonts w:hint="eastAsia" w:eastAsia="仿宋_GB2312"/>
          <w:color w:val="000000"/>
          <w:sz w:val="32"/>
          <w:szCs w:val="32"/>
          <w:lang w:val="en-US" w:eastAsia="zh-CN"/>
        </w:rPr>
        <w:t xml:space="preserve">    说明：青饲玉米种植生长期正是本地杂草生长旺季，苗前除杂尤为重要。前期除杂不及时，将严重影响青饲玉米苗期生长，可能因杂草荫庇导致减产。</w:t>
      </w:r>
    </w:p>
    <w:p w14:paraId="6C1E480E">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9、收获质量。利用玉米青贮收获机收割，玉米留茬高度≦8㎝左右、籽料破碎率≧90%；玉米茎秆切碎长度2-5㎝，其中肉牛料≦5㎝、羊料≦2㎝；损失率≦5%。收割作业质量应符合NY/T2609、NY/T2088的规定。</w:t>
      </w:r>
    </w:p>
    <w:p w14:paraId="70B6D0CA">
      <w:pPr>
        <w:spacing w:line="560" w:lineRule="exact"/>
        <w:ind w:firstLine="640" w:firstLineChars="200"/>
        <w:rPr>
          <w:rFonts w:hint="eastAsia" w:eastAsia="仿宋_GB2312"/>
          <w:color w:val="000000"/>
          <w:sz w:val="32"/>
          <w:szCs w:val="32"/>
          <w:lang w:val="en-US" w:eastAsia="zh-CN"/>
        </w:rPr>
      </w:pPr>
      <w:r>
        <w:rPr>
          <w:rFonts w:hint="eastAsia" w:eastAsia="仿宋_GB2312"/>
          <w:color w:val="000000"/>
          <w:sz w:val="32"/>
          <w:szCs w:val="32"/>
          <w:lang w:val="en-US" w:eastAsia="zh-CN"/>
        </w:rPr>
        <w:t>说明：目前，市场上的收获机械种类较多，对青饲玉米收获质量参差不齐，影响牛羊对饲草的消化率。为了保障青饲玉米收获质量，特别对玉米籽料破碎率、切碎长度提出有关要求。</w:t>
      </w:r>
    </w:p>
    <w:p w14:paraId="3C9B57FE">
      <w:pPr>
        <w:spacing w:line="560" w:lineRule="exact"/>
        <w:ind w:firstLine="640" w:firstLineChars="200"/>
        <w:rPr>
          <w:rFonts w:ascii="黑体" w:hAnsi="黑体" w:eastAsia="黑体"/>
          <w:sz w:val="32"/>
          <w:szCs w:val="32"/>
        </w:rPr>
      </w:pPr>
      <w:r>
        <w:rPr>
          <w:rFonts w:hint="eastAsia" w:ascii="黑体" w:hAnsi="黑体" w:eastAsia="黑体"/>
          <w:sz w:val="32"/>
          <w:szCs w:val="32"/>
        </w:rPr>
        <w:t>六、重大意见分歧的处理依据和结果</w:t>
      </w:r>
    </w:p>
    <w:p w14:paraId="113CDEB4">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本标准在起草制订过程中，已征询了</w:t>
      </w:r>
      <w:r>
        <w:rPr>
          <w:rFonts w:hint="eastAsia" w:ascii="仿宋_GB2312" w:hAnsi="仿宋_GB2312" w:eastAsia="仿宋_GB2312" w:cs="仿宋_GB2312"/>
          <w:sz w:val="32"/>
          <w:szCs w:val="32"/>
          <w:lang w:eastAsia="zh-CN"/>
        </w:rPr>
        <w:t>种植户</w:t>
      </w:r>
      <w:r>
        <w:rPr>
          <w:rFonts w:hint="eastAsia" w:ascii="仿宋_GB2312" w:hAnsi="仿宋_GB2312" w:eastAsia="仿宋_GB2312" w:cs="仿宋_GB2312"/>
          <w:sz w:val="32"/>
          <w:szCs w:val="32"/>
        </w:rPr>
        <w:t>意见，对规程全部条款均无重大意见分歧。</w:t>
      </w:r>
    </w:p>
    <w:p w14:paraId="02760960">
      <w:pPr>
        <w:spacing w:line="560" w:lineRule="exact"/>
        <w:ind w:firstLine="640" w:firstLineChars="200"/>
        <w:rPr>
          <w:rFonts w:ascii="黑体" w:hAnsi="黑体" w:eastAsia="黑体"/>
          <w:sz w:val="32"/>
          <w:szCs w:val="32"/>
        </w:rPr>
      </w:pPr>
      <w:r>
        <w:rPr>
          <w:rFonts w:hint="eastAsia" w:ascii="黑体" w:hAnsi="黑体" w:eastAsia="黑体"/>
          <w:sz w:val="32"/>
          <w:szCs w:val="32"/>
        </w:rPr>
        <w:t>七、采用国际标准或国外先进标准的，说明采标程度，以及国内外同类标准水平的对比情况</w:t>
      </w:r>
    </w:p>
    <w:p w14:paraId="582E04E7">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rPr>
        <w:t>目前，青饲玉米生产在农业发达国家、我国青贮玉米主产区都实现了全程机械化生产。青饲玉米机械化生产无国家技术标准，部分省区相续制定了地方标准，如湖南省《青贮玉米全程机械化生产技术规程》（DB43/T 2041-2021）、黑龙江省《青贮玉米机械收获技术规范》（DB23/T 3161-2022）、河南省《青贮玉米机械收获技术规程》（DB41/T1938-2020）和吉林省《全株青贮玉米饲料生产技术规程》。（DB22/T2914-2018）。</w:t>
      </w:r>
    </w:p>
    <w:p w14:paraId="16F3E633">
      <w:pPr>
        <w:spacing w:line="560" w:lineRule="exact"/>
        <w:ind w:firstLine="640" w:firstLineChars="200"/>
        <w:rPr>
          <w:rFonts w:hint="eastAsia" w:ascii="仿宋_GB2312" w:hAnsi="仿宋_GB2312" w:eastAsia="仿宋_GB2312" w:cs="仿宋_GB2312"/>
          <w:sz w:val="32"/>
          <w:szCs w:val="32"/>
          <w:lang w:eastAsia="zh-CN"/>
        </w:rPr>
      </w:pPr>
      <w:r>
        <w:rPr>
          <w:rFonts w:hint="eastAsia" w:ascii="仿宋_GB2312" w:hAnsi="仿宋_GB2312" w:eastAsia="仿宋_GB2312" w:cs="仿宋_GB2312"/>
          <w:sz w:val="32"/>
          <w:szCs w:val="32"/>
          <w:lang w:eastAsia="zh-CN"/>
        </w:rPr>
        <w:t>本技术与</w:t>
      </w:r>
      <w:r>
        <w:rPr>
          <w:rFonts w:hint="eastAsia" w:ascii="仿宋_GB2312" w:hAnsi="仿宋_GB2312" w:eastAsia="仿宋_GB2312" w:cs="仿宋_GB2312"/>
          <w:sz w:val="32"/>
          <w:szCs w:val="32"/>
        </w:rPr>
        <w:t>湖南省</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黑龙江省</w:t>
      </w:r>
      <w:r>
        <w:rPr>
          <w:rFonts w:hint="eastAsia" w:ascii="仿宋_GB2312" w:hAnsi="仿宋_GB2312" w:eastAsia="仿宋_GB2312" w:cs="仿宋_GB2312"/>
          <w:sz w:val="32"/>
          <w:szCs w:val="32"/>
          <w:lang w:eastAsia="zh-CN"/>
        </w:rPr>
        <w:t>、河南省具有明显的差异。例如土地平整方式不同，黑龙江、河南采取免耕模式，湖南春季采用翻耕、夏季免耕，而江西因土壤粘性重易板结原因，每季播种前土地需要翻耕。播种方式也不同，山东采取开沟、施肥、播种、覆土、镇压联合作用，湖南采用旋耕、起垄、施肥、播种联合作用，而江西选择开沟、施肥、播种、覆土联合作业。因江西土壤粘性重，播种后镇压会影响出苗，而湖南选择旋耕、起垄等联合作业，不适应江西红壤地区，在北方应用的较多。其他在播种密度、施肥及病虫害防控设施设备也存在较大的差异。在收获机械方面，湖南、山东等省份无相关机械参数技术指导。</w:t>
      </w:r>
      <w:r>
        <w:rPr>
          <w:rFonts w:hint="eastAsia" w:ascii="仿宋_GB2312" w:hAnsi="仿宋_GB2312" w:eastAsia="仿宋_GB2312" w:cs="仿宋_GB2312"/>
          <w:sz w:val="32"/>
          <w:szCs w:val="32"/>
        </w:rPr>
        <w:t>因此，本</w:t>
      </w:r>
      <w:r>
        <w:rPr>
          <w:rFonts w:hint="eastAsia" w:ascii="仿宋_GB2312" w:hAnsi="仿宋_GB2312" w:eastAsia="仿宋_GB2312" w:cs="仿宋_GB2312"/>
          <w:sz w:val="32"/>
          <w:szCs w:val="32"/>
          <w:lang w:eastAsia="zh-CN"/>
        </w:rPr>
        <w:t>技术</w:t>
      </w:r>
      <w:r>
        <w:rPr>
          <w:rFonts w:hint="eastAsia" w:ascii="仿宋_GB2312" w:hAnsi="仿宋_GB2312" w:eastAsia="仿宋_GB2312" w:cs="仿宋_GB2312"/>
          <w:sz w:val="32"/>
          <w:szCs w:val="32"/>
        </w:rPr>
        <w:t>具有</w:t>
      </w:r>
      <w:r>
        <w:rPr>
          <w:rFonts w:hint="eastAsia" w:ascii="仿宋_GB2312" w:hAnsi="仿宋_GB2312" w:eastAsia="仿宋_GB2312" w:cs="仿宋_GB2312"/>
          <w:sz w:val="32"/>
          <w:szCs w:val="32"/>
          <w:lang w:eastAsia="zh-CN"/>
        </w:rPr>
        <w:t>区域特性、</w:t>
      </w:r>
      <w:r>
        <w:rPr>
          <w:rFonts w:hint="eastAsia" w:ascii="仿宋_GB2312" w:hAnsi="仿宋_GB2312" w:eastAsia="仿宋_GB2312" w:cs="仿宋_GB2312"/>
          <w:sz w:val="32"/>
          <w:szCs w:val="32"/>
        </w:rPr>
        <w:t>新颖性、</w:t>
      </w:r>
      <w:r>
        <w:rPr>
          <w:rFonts w:hint="eastAsia" w:ascii="仿宋_GB2312" w:hAnsi="仿宋_GB2312" w:eastAsia="仿宋_GB2312" w:cs="仿宋_GB2312"/>
          <w:sz w:val="32"/>
          <w:szCs w:val="32"/>
          <w:lang w:eastAsia="zh-CN"/>
        </w:rPr>
        <w:t>指导</w:t>
      </w:r>
      <w:r>
        <w:rPr>
          <w:rFonts w:hint="eastAsia" w:ascii="仿宋_GB2312" w:hAnsi="仿宋_GB2312" w:eastAsia="仿宋_GB2312" w:cs="仿宋_GB2312"/>
          <w:sz w:val="32"/>
          <w:szCs w:val="32"/>
        </w:rPr>
        <w:t>性。</w:t>
      </w:r>
    </w:p>
    <w:p w14:paraId="24CE8F9E">
      <w:pPr>
        <w:spacing w:line="560" w:lineRule="exact"/>
        <w:ind w:firstLine="640" w:firstLineChars="200"/>
        <w:rPr>
          <w:rFonts w:hint="eastAsia" w:ascii="仿宋_GB2312" w:hAnsi="仿宋_GB2312" w:eastAsia="仿宋_GB2312" w:cs="仿宋_GB2312"/>
          <w:sz w:val="32"/>
          <w:szCs w:val="32"/>
        </w:rPr>
      </w:pPr>
      <w:r>
        <w:rPr>
          <w:rFonts w:hint="eastAsia" w:ascii="仿宋_GB2312" w:hAnsi="仿宋_GB2312" w:eastAsia="仿宋_GB2312" w:cs="仿宋_GB2312"/>
          <w:sz w:val="32"/>
          <w:szCs w:val="32"/>
          <w:lang w:eastAsia="zh-CN"/>
        </w:rPr>
        <w:t>拟制定标准未采用及参照国际国外标准。</w:t>
      </w:r>
    </w:p>
    <w:p w14:paraId="26D875FE">
      <w:pPr>
        <w:spacing w:line="560" w:lineRule="exact"/>
        <w:ind w:firstLine="640" w:firstLineChars="200"/>
        <w:rPr>
          <w:rFonts w:ascii="黑体" w:hAnsi="黑体" w:eastAsia="黑体"/>
          <w:b/>
          <w:strike/>
          <w:sz w:val="32"/>
          <w:szCs w:val="32"/>
        </w:rPr>
      </w:pPr>
      <w:r>
        <w:rPr>
          <w:rFonts w:hint="eastAsia" w:ascii="黑体" w:hAnsi="黑体" w:eastAsia="黑体"/>
          <w:sz w:val="32"/>
          <w:szCs w:val="32"/>
        </w:rPr>
        <w:t>八、作为推荐性或强制性标准的建议及其理由</w:t>
      </w:r>
    </w:p>
    <w:p w14:paraId="7A7A4F3A">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本标准为生产应用技术，</w:t>
      </w:r>
      <w:r>
        <w:rPr>
          <w:rFonts w:hint="eastAsia" w:ascii="仿宋_GB2312" w:hAnsi="仿宋_GB2312" w:eastAsia="仿宋_GB2312" w:cs="仿宋_GB2312"/>
          <w:color w:val="333333"/>
          <w:sz w:val="32"/>
          <w:szCs w:val="32"/>
        </w:rPr>
        <w:t>具有普遍的指导作用，使用单位宜结合自己的实际情况，</w:t>
      </w:r>
      <w:r>
        <w:rPr>
          <w:rFonts w:hint="eastAsia" w:ascii="仿宋_GB2312" w:hAnsi="仿宋_GB2312" w:eastAsia="仿宋_GB2312" w:cs="仿宋_GB2312"/>
          <w:sz w:val="32"/>
          <w:szCs w:val="32"/>
        </w:rPr>
        <w:t>自愿</w:t>
      </w:r>
      <w:r>
        <w:rPr>
          <w:rFonts w:hint="eastAsia" w:ascii="仿宋_GB2312" w:hAnsi="仿宋_GB2312" w:eastAsia="仿宋_GB2312" w:cs="仿宋_GB2312"/>
          <w:color w:val="333333"/>
          <w:sz w:val="32"/>
          <w:szCs w:val="32"/>
        </w:rPr>
        <w:t>灵活选用。</w:t>
      </w:r>
      <w:r>
        <w:rPr>
          <w:rFonts w:hint="eastAsia" w:ascii="仿宋_GB2312" w:hAnsi="仿宋_GB2312" w:eastAsia="仿宋_GB2312" w:cs="仿宋_GB2312"/>
          <w:sz w:val="32"/>
          <w:szCs w:val="32"/>
        </w:rPr>
        <w:t>建议作为推荐性标准发布实施。</w:t>
      </w:r>
    </w:p>
    <w:p w14:paraId="21648E4D">
      <w:pPr>
        <w:spacing w:line="560" w:lineRule="exact"/>
        <w:ind w:firstLine="640" w:firstLineChars="200"/>
        <w:rPr>
          <w:rFonts w:ascii="黑体" w:hAnsi="黑体" w:eastAsia="黑体"/>
          <w:color w:val="FF0000"/>
          <w:sz w:val="32"/>
          <w:szCs w:val="32"/>
        </w:rPr>
      </w:pPr>
      <w:r>
        <w:rPr>
          <w:rFonts w:hint="eastAsia" w:ascii="黑体" w:hAnsi="黑体" w:eastAsia="黑体"/>
          <w:sz w:val="32"/>
          <w:szCs w:val="32"/>
        </w:rPr>
        <w:t>九、贯彻标准的措施建议</w:t>
      </w:r>
    </w:p>
    <w:p w14:paraId="7BDC6E29">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本标准是地方标准，在实际生产工作中，各生产应用单位或用户应尽可能采取本标准技术或结合实际需要在某些阶段及关键环节上采用本标准技术，可为产业生产提供良好的技术支持，最大的发挥本标准的积极作用。</w:t>
      </w:r>
    </w:p>
    <w:p w14:paraId="102BA0B5">
      <w:pPr>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标准实施后，一要加大宣传力度，让</w:t>
      </w:r>
      <w:r>
        <w:rPr>
          <w:rFonts w:hint="eastAsia" w:ascii="仿宋_GB2312" w:hAnsi="仿宋_GB2312" w:eastAsia="仿宋_GB2312" w:cs="仿宋_GB2312"/>
          <w:sz w:val="32"/>
          <w:szCs w:val="32"/>
          <w:lang w:eastAsia="zh-CN"/>
        </w:rPr>
        <w:t>农民了解标准的科学性、实用性，提升标准</w:t>
      </w:r>
      <w:r>
        <w:rPr>
          <w:rFonts w:hint="eastAsia" w:ascii="仿宋_GB2312" w:hAnsi="仿宋_GB2312" w:eastAsia="仿宋_GB2312" w:cs="仿宋_GB2312"/>
          <w:sz w:val="32"/>
          <w:szCs w:val="32"/>
        </w:rPr>
        <w:t>使用</w:t>
      </w:r>
      <w:r>
        <w:rPr>
          <w:rFonts w:hint="eastAsia" w:ascii="仿宋_GB2312" w:hAnsi="仿宋_GB2312" w:eastAsia="仿宋_GB2312" w:cs="仿宋_GB2312"/>
          <w:sz w:val="32"/>
          <w:szCs w:val="32"/>
          <w:lang w:eastAsia="zh-CN"/>
        </w:rPr>
        <w:t>率</w:t>
      </w:r>
      <w:r>
        <w:rPr>
          <w:rFonts w:hint="eastAsia" w:ascii="仿宋_GB2312" w:hAnsi="仿宋_GB2312" w:eastAsia="仿宋_GB2312" w:cs="仿宋_GB2312"/>
          <w:sz w:val="32"/>
          <w:szCs w:val="32"/>
        </w:rPr>
        <w:t>；二是加强技术培训。依托“国家肉牛肉羊增量提质项目”、“江西草地畜牧业</w:t>
      </w:r>
      <w:r>
        <w:rPr>
          <w:rFonts w:hint="eastAsia" w:ascii="仿宋_GB2312" w:hAnsi="仿宋_GB2312" w:eastAsia="仿宋_GB2312" w:cs="仿宋_GB2312"/>
          <w:sz w:val="32"/>
          <w:szCs w:val="32"/>
          <w:lang w:eastAsia="zh-CN"/>
        </w:rPr>
        <w:t>重大</w:t>
      </w:r>
      <w:r>
        <w:rPr>
          <w:rFonts w:hint="eastAsia" w:ascii="仿宋_GB2312" w:hAnsi="仿宋_GB2312" w:eastAsia="仿宋_GB2312" w:cs="仿宋_GB2312"/>
          <w:sz w:val="32"/>
          <w:szCs w:val="32"/>
        </w:rPr>
        <w:t>协同推广项目”、“江西省牛羊产业技术体系项目”等项目加强技术培训。通过培训讲学，让用户理解本标准，熟悉标准技术，做到正确应用标准，最大的发挥标准的作用和效益；三是注重示范引导。通过建立标准应用展示示范点，让大家能够看得见使用标准技术的效果，能有效引导带动广大用户遵照采用规程标准。特别是行业主管及技术部门，要采取多形式、多途径加快推进标准的应用，从而最好的实现制定标准的目的。</w:t>
      </w:r>
    </w:p>
    <w:p w14:paraId="4F1BEB58">
      <w:pPr>
        <w:spacing w:line="560" w:lineRule="exact"/>
        <w:ind w:firstLine="640" w:firstLineChars="200"/>
        <w:rPr>
          <w:rFonts w:ascii="黑体" w:hAnsi="黑体" w:eastAsia="黑体"/>
          <w:sz w:val="32"/>
          <w:szCs w:val="32"/>
        </w:rPr>
      </w:pPr>
      <w:r>
        <w:rPr>
          <w:rFonts w:hint="eastAsia" w:ascii="黑体" w:hAnsi="黑体" w:eastAsia="黑体"/>
          <w:sz w:val="32"/>
          <w:szCs w:val="32"/>
        </w:rPr>
        <w:t>十、其他应说明的事项</w:t>
      </w:r>
    </w:p>
    <w:p w14:paraId="6F0EB4F7">
      <w:pPr>
        <w:spacing w:line="560" w:lineRule="exact"/>
        <w:ind w:firstLine="1120" w:firstLineChars="350"/>
        <w:rPr>
          <w:rFonts w:ascii="仿宋_GB2312" w:hAnsi="仿宋_GB2312" w:eastAsia="仿宋_GB2312" w:cs="仿宋_GB2312"/>
          <w:sz w:val="32"/>
          <w:szCs w:val="32"/>
        </w:rPr>
      </w:pPr>
      <w:r>
        <w:rPr>
          <w:rFonts w:hint="eastAsia" w:ascii="仿宋_GB2312" w:hAnsi="仿宋_GB2312" w:eastAsia="仿宋_GB2312" w:cs="仿宋_GB2312"/>
          <w:sz w:val="32"/>
          <w:szCs w:val="32"/>
        </w:rPr>
        <w:t>无</w:t>
      </w:r>
    </w:p>
    <w:p w14:paraId="3977D3A4">
      <w:pPr>
        <w:spacing w:line="560" w:lineRule="exact"/>
        <w:rPr>
          <w:rFonts w:ascii="仿宋_GB2312" w:hAnsi="仿宋_GB2312" w:eastAsia="仿宋_GB2312" w:cs="仿宋_GB2312"/>
          <w:sz w:val="32"/>
          <w:szCs w:val="32"/>
        </w:rPr>
      </w:pPr>
    </w:p>
    <w:p w14:paraId="371624A0">
      <w:pPr>
        <w:spacing w:line="560" w:lineRule="exact"/>
        <w:rPr>
          <w:rFonts w:ascii="仿宋_GB2312" w:hAnsi="仿宋_GB2312" w:eastAsia="仿宋_GB2312" w:cs="仿宋_GB2312"/>
          <w:sz w:val="32"/>
          <w:szCs w:val="32"/>
        </w:rPr>
      </w:pPr>
    </w:p>
    <w:p w14:paraId="2BDFC1A0">
      <w:pPr>
        <w:spacing w:line="560" w:lineRule="exact"/>
        <w:rPr>
          <w:rFonts w:ascii="仿宋_GB2312" w:hAnsi="仿宋_GB2312" w:eastAsia="仿宋_GB2312" w:cs="仿宋_GB2312"/>
          <w:sz w:val="32"/>
          <w:szCs w:val="32"/>
        </w:rPr>
      </w:pPr>
    </w:p>
    <w:p w14:paraId="177EFE24">
      <w:pPr>
        <w:spacing w:line="560" w:lineRule="exact"/>
        <w:rPr>
          <w:rFonts w:ascii="仿宋_GB2312" w:hAnsi="仿宋_GB2312" w:eastAsia="仿宋_GB2312" w:cs="仿宋_GB2312"/>
          <w:sz w:val="32"/>
          <w:szCs w:val="32"/>
        </w:rPr>
      </w:pPr>
    </w:p>
    <w:p w14:paraId="5009E6DC">
      <w:pPr>
        <w:spacing w:line="560" w:lineRule="exact"/>
        <w:rPr>
          <w:rFonts w:ascii="仿宋_GB2312" w:hAnsi="仿宋_GB2312" w:eastAsia="仿宋_GB2312" w:cs="仿宋_GB2312"/>
          <w:sz w:val="32"/>
          <w:szCs w:val="32"/>
        </w:rPr>
      </w:pPr>
      <w:r>
        <w:rPr>
          <w:rFonts w:ascii="仿宋_GB2312" w:hAnsi="仿宋_GB2312" w:eastAsia="仿宋_GB2312" w:cs="仿宋_GB2312"/>
          <w:sz w:val="32"/>
          <w:szCs w:val="32"/>
        </w:rPr>
        <w:t xml:space="preserve">          </w:t>
      </w:r>
      <w:r>
        <w:rPr>
          <w:rFonts w:hint="eastAsia" w:ascii="仿宋_GB2312" w:hAnsi="仿宋_GB2312" w:eastAsia="仿宋_GB2312" w:cs="仿宋_GB2312"/>
          <w:sz w:val="32"/>
          <w:szCs w:val="32"/>
        </w:rPr>
        <w:t>《</w:t>
      </w:r>
      <w:r>
        <w:rPr>
          <w:rFonts w:hint="eastAsia" w:ascii="仿宋_GB2312" w:hAnsi="仿宋_GB2312" w:eastAsia="仿宋_GB2312" w:cs="仿宋_GB2312"/>
          <w:sz w:val="32"/>
          <w:szCs w:val="32"/>
          <w:lang w:eastAsia="zh-CN"/>
        </w:rPr>
        <w:t>青饲玉米机械化生产技术规程</w:t>
      </w:r>
      <w:r>
        <w:rPr>
          <w:rFonts w:hint="eastAsia" w:ascii="仿宋_GB2312" w:hAnsi="仿宋_GB2312" w:eastAsia="仿宋_GB2312" w:cs="仿宋_GB2312"/>
          <w:sz w:val="32"/>
          <w:szCs w:val="32"/>
        </w:rPr>
        <w:t>》标准起草小组</w:t>
      </w:r>
      <w:r>
        <w:rPr>
          <w:rFonts w:ascii="仿宋_GB2312" w:hAnsi="仿宋_GB2312" w:eastAsia="仿宋_GB2312" w:cs="仿宋_GB2312"/>
          <w:sz w:val="32"/>
          <w:szCs w:val="32"/>
        </w:rPr>
        <w:t xml:space="preserve"> </w:t>
      </w:r>
    </w:p>
    <w:p w14:paraId="21FAC858">
      <w:pPr>
        <w:spacing w:line="560" w:lineRule="exact"/>
        <w:rPr>
          <w:sz w:val="32"/>
          <w:szCs w:val="32"/>
        </w:rPr>
      </w:pPr>
      <w:r>
        <w:rPr>
          <w:rFonts w:hint="eastAsia" w:ascii="仿宋_GB2312" w:hAnsi="仿宋_GB2312" w:eastAsia="仿宋_GB2312" w:cs="仿宋_GB2312"/>
          <w:sz w:val="32"/>
          <w:szCs w:val="32"/>
          <w:lang w:val="en-US" w:eastAsia="zh-CN"/>
        </w:rPr>
        <w:t xml:space="preserve">                             2025年4月16日</w:t>
      </w:r>
    </w:p>
    <w:p w14:paraId="116E667D"/>
    <w:p w14:paraId="2E0202A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roma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仿宋">
    <w:panose1 w:val="02010609060101010101"/>
    <w:charset w:val="86"/>
    <w:family w:val="swiss"/>
    <w:pitch w:val="default"/>
    <w:sig w:usb0="800002BF" w:usb1="38CF7CFA" w:usb2="00000016" w:usb3="00000000" w:csb0="00040001"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67FF685C"/>
    <w:multiLevelType w:val="singleLevel"/>
    <w:tmpl w:val="67FF685C"/>
    <w:lvl w:ilvl="0" w:tentative="0">
      <w:start w:val="8"/>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view w:val="normal"/>
  <w:zoom w:percent="75"/>
  <w:embedSystemFonts/>
  <w:bordersDoNotSurroundHeader w:val="0"/>
  <w:bordersDoNotSurroundFooter w:val="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3D90AA2"/>
    <w:rsid w:val="042E707B"/>
    <w:rsid w:val="06187552"/>
    <w:rsid w:val="0A542466"/>
    <w:rsid w:val="0C3266A4"/>
    <w:rsid w:val="0FD0145A"/>
    <w:rsid w:val="10127855"/>
    <w:rsid w:val="13BA7169"/>
    <w:rsid w:val="13D90AA2"/>
    <w:rsid w:val="144F31BF"/>
    <w:rsid w:val="14AC49DA"/>
    <w:rsid w:val="15EE1B4A"/>
    <w:rsid w:val="17DC4CA6"/>
    <w:rsid w:val="19605437"/>
    <w:rsid w:val="199C0DB1"/>
    <w:rsid w:val="1DD04F3F"/>
    <w:rsid w:val="1FD31918"/>
    <w:rsid w:val="22D95048"/>
    <w:rsid w:val="23415EC7"/>
    <w:rsid w:val="252C37F7"/>
    <w:rsid w:val="283D057B"/>
    <w:rsid w:val="2DFB1E3F"/>
    <w:rsid w:val="33BD6B7B"/>
    <w:rsid w:val="34446663"/>
    <w:rsid w:val="35282716"/>
    <w:rsid w:val="35B20DB8"/>
    <w:rsid w:val="38410896"/>
    <w:rsid w:val="3950517E"/>
    <w:rsid w:val="39A957C3"/>
    <w:rsid w:val="3A8D156E"/>
    <w:rsid w:val="3BE9107D"/>
    <w:rsid w:val="3F3629C3"/>
    <w:rsid w:val="3F6E3FC4"/>
    <w:rsid w:val="3F7B79B3"/>
    <w:rsid w:val="46E0604C"/>
    <w:rsid w:val="4B9F6EA6"/>
    <w:rsid w:val="4EA147BD"/>
    <w:rsid w:val="4EAD27BB"/>
    <w:rsid w:val="4FF77E58"/>
    <w:rsid w:val="53F47536"/>
    <w:rsid w:val="604F1DF1"/>
    <w:rsid w:val="60960326"/>
    <w:rsid w:val="66C6394E"/>
    <w:rsid w:val="6A753988"/>
    <w:rsid w:val="6FCD383D"/>
    <w:rsid w:val="7C2A0A94"/>
    <w:rsid w:val="7C327AAE"/>
    <w:rsid w:val="7FEA49B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段"/>
    <w:qFormat/>
    <w:uiPriority w:val="99"/>
    <w:pPr>
      <w:tabs>
        <w:tab w:val="center" w:pos="4201"/>
        <w:tab w:val="right" w:leader="dot" w:pos="9298"/>
      </w:tabs>
      <w:autoSpaceDE w:val="0"/>
      <w:autoSpaceDN w:val="0"/>
      <w:ind w:firstLine="420" w:firstLineChars="200"/>
      <w:jc w:val="both"/>
    </w:pPr>
    <w:rPr>
      <w:rFonts w:ascii="宋体" w:hAnsi="Times New Roman" w:eastAsia="宋体" w:cs="Times New Roman"/>
      <w:kern w:val="0"/>
      <w:sz w:val="21"/>
      <w:szCs w:val="20"/>
      <w:lang w:val="en-US" w:eastAsia="zh-CN" w:bidi="ar-SA"/>
    </w:rPr>
  </w:style>
  <w:style w:type="paragraph" w:customStyle="1" w:styleId="5">
    <w:name w:val="目次、标准名称标题"/>
    <w:basedOn w:val="1"/>
    <w:next w:val="4"/>
    <w:qFormat/>
    <w:uiPriority w:val="0"/>
    <w:pPr>
      <w:keepNext/>
      <w:pageBreakBefore/>
      <w:widowControl/>
      <w:shd w:val="clear" w:color="FFFFFF" w:fill="FFFFFF"/>
      <w:spacing w:before="640" w:after="560" w:line="460" w:lineRule="exact"/>
      <w:jc w:val="center"/>
      <w:outlineLvl w:val="0"/>
    </w:pPr>
    <w:rPr>
      <w:rFonts w:ascii="黑体" w:eastAsia="黑体"/>
      <w:kern w:val="0"/>
      <w:sz w:val="32"/>
      <w:szCs w:val="20"/>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10</Pages>
  <Words>4801</Words>
  <Characters>5113</Characters>
  <Lines>0</Lines>
  <Paragraphs>0</Paragraphs>
  <TotalTime>0</TotalTime>
  <ScaleCrop>false</ScaleCrop>
  <LinksUpToDate>false</LinksUpToDate>
  <CharactersWithSpaces>5234</CharactersWithSpaces>
  <Application>WPS Office_12.1.0.21171_F1E327BC-269C-435d-A152-05C5408002CA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2025-04-16T06:30:00Z</dcterms:created>
  <dc:creator>DELL</dc:creator>
  <cp:lastModifiedBy>陈星曈</cp:lastModifiedBy>
  <dcterms:modified xsi:type="dcterms:W3CDTF">2025-06-13T07:27:54Z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2052-12.1.0.21171</vt:lpwstr>
  </property>
  <property fmtid="{D5CDD505-2E9C-101B-9397-08002B2CF9AE}" pid="3" name="KSOTemplateDocerSaveRecord">
    <vt:lpwstr>eyJoZGlkIjoiNzhiMjFhNjIyYzE0ZWNjMWI5NjJlODEyYTM4NmRiY2EiLCJ1c2VySWQiOiIxMjEzNjU0MDg4In0=</vt:lpwstr>
  </property>
  <property fmtid="{D5CDD505-2E9C-101B-9397-08002B2CF9AE}" pid="4" name="ICV">
    <vt:lpwstr>003604E3F88545BC8197BA31EC02C466_12</vt:lpwstr>
  </property>
</Properties>
</file>